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u w:val="single"/>
        </w:rPr>
        <w:id w:val="-423947539"/>
        <w:docPartObj>
          <w:docPartGallery w:val="Cover Pages"/>
          <w:docPartUnique/>
        </w:docPartObj>
      </w:sdtPr>
      <w:sdtEndPr/>
      <w:sdtContent>
        <w:p w:rsidR="0024428D" w:rsidRDefault="00730D69" w:rsidP="00730D69">
          <w:pPr>
            <w:jc w:val="center"/>
            <w:rPr>
              <w:rFonts w:ascii="Arial" w:hAnsi="Arial" w:cs="Arial"/>
              <w:b/>
              <w:u w:val="single"/>
            </w:rPr>
          </w:pPr>
          <w:r>
            <w:rPr>
              <w:noProof/>
              <w:lang w:eastAsia="en-GB"/>
            </w:rPr>
            <mc:AlternateContent>
              <mc:Choice Requires="wps">
                <w:drawing>
                  <wp:anchor distT="0" distB="0" distL="114300" distR="114300" simplePos="0" relativeHeight="251659264" behindDoc="0" locked="0" layoutInCell="1" allowOverlap="1" wp14:anchorId="0EAAD8CA" wp14:editId="4B4B7C66">
                    <wp:simplePos x="0" y="0"/>
                    <wp:positionH relativeFrom="column">
                      <wp:posOffset>-137160</wp:posOffset>
                    </wp:positionH>
                    <wp:positionV relativeFrom="paragraph">
                      <wp:posOffset>5105400</wp:posOffset>
                    </wp:positionV>
                    <wp:extent cx="6168788" cy="15240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6168788"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D69" w:rsidRDefault="00730D69" w:rsidP="00730D69">
                                <w:pPr>
                                  <w:jc w:val="center"/>
                                  <w:rPr>
                                    <w:b/>
                                    <w:sz w:val="52"/>
                                  </w:rPr>
                                </w:pPr>
                                <w:r w:rsidRPr="00730D69">
                                  <w:rPr>
                                    <w:b/>
                                    <w:sz w:val="52"/>
                                  </w:rPr>
                                  <w:t>North Yo</w:t>
                                </w:r>
                                <w:r>
                                  <w:rPr>
                                    <w:b/>
                                    <w:sz w:val="52"/>
                                  </w:rPr>
                                  <w:t>rkshire Fire and Rescue Service</w:t>
                                </w:r>
                                <w:r w:rsidRPr="00730D69">
                                  <w:rPr>
                                    <w:b/>
                                    <w:sz w:val="52"/>
                                  </w:rPr>
                                  <w:t xml:space="preserve"> Gender Pay Gap</w:t>
                                </w:r>
                                <w:r>
                                  <w:rPr>
                                    <w:b/>
                                    <w:sz w:val="52"/>
                                  </w:rPr>
                                  <w:t xml:space="preserve"> Report</w:t>
                                </w:r>
                              </w:p>
                              <w:p w:rsidR="0002143D" w:rsidRDefault="0002143D" w:rsidP="00730D69">
                                <w:pPr>
                                  <w:jc w:val="center"/>
                                  <w:rPr>
                                    <w:b/>
                                    <w:sz w:val="52"/>
                                  </w:rPr>
                                </w:pPr>
                                <w:r>
                                  <w:rPr>
                                    <w:b/>
                                    <w:sz w:val="52"/>
                                  </w:rPr>
                                  <w:t>2018</w:t>
                                </w:r>
                              </w:p>
                              <w:p w:rsidR="0002143D" w:rsidRDefault="0002143D" w:rsidP="00730D69">
                                <w:pPr>
                                  <w:jc w:val="center"/>
                                  <w:rPr>
                                    <w:b/>
                                    <w:sz w:val="52"/>
                                  </w:rPr>
                                </w:pPr>
                              </w:p>
                              <w:p w:rsidR="0002143D" w:rsidRDefault="0002143D" w:rsidP="00730D69">
                                <w:pPr>
                                  <w:jc w:val="center"/>
                                  <w:rPr>
                                    <w:b/>
                                    <w:sz w:val="52"/>
                                  </w:rPr>
                                </w:pPr>
                              </w:p>
                              <w:p w:rsidR="0002143D" w:rsidRDefault="0002143D" w:rsidP="00730D69">
                                <w:pPr>
                                  <w:jc w:val="center"/>
                                  <w:rPr>
                                    <w:b/>
                                    <w:sz w:val="52"/>
                                  </w:rPr>
                                </w:pPr>
                              </w:p>
                              <w:p w:rsidR="0002143D" w:rsidRPr="00730D69" w:rsidRDefault="0002143D" w:rsidP="00730D69">
                                <w:pPr>
                                  <w:jc w:val="center"/>
                                  <w:rPr>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pt;margin-top:402pt;width:485.7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WnjAIAAIs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" fillcolor="white [3201]" stroked="f" strokeweight=".5pt">
                    <v:textbox>
                      <w:txbxContent>
                        <w:p w:rsidR="00730D69" w:rsidRDefault="00730D69" w:rsidP="00730D69">
                          <w:pPr>
                            <w:jc w:val="center"/>
                            <w:rPr>
                              <w:b/>
                              <w:sz w:val="52"/>
                            </w:rPr>
                          </w:pPr>
                          <w:r w:rsidRPr="00730D69">
                            <w:rPr>
                              <w:b/>
                              <w:sz w:val="52"/>
                            </w:rPr>
                            <w:t>North Yo</w:t>
                          </w:r>
                          <w:r>
                            <w:rPr>
                              <w:b/>
                              <w:sz w:val="52"/>
                            </w:rPr>
                            <w:t>rkshire Fire and Rescue Service</w:t>
                          </w:r>
                          <w:r w:rsidRPr="00730D69">
                            <w:rPr>
                              <w:b/>
                              <w:sz w:val="52"/>
                            </w:rPr>
                            <w:t xml:space="preserve"> Gender Pay Gap</w:t>
                          </w:r>
                          <w:r>
                            <w:rPr>
                              <w:b/>
                              <w:sz w:val="52"/>
                            </w:rPr>
                            <w:t xml:space="preserve"> Report</w:t>
                          </w:r>
                        </w:p>
                        <w:p w:rsidR="0002143D" w:rsidRDefault="0002143D" w:rsidP="00730D69">
                          <w:pPr>
                            <w:jc w:val="center"/>
                            <w:rPr>
                              <w:b/>
                              <w:sz w:val="52"/>
                            </w:rPr>
                          </w:pPr>
                          <w:r>
                            <w:rPr>
                              <w:b/>
                              <w:sz w:val="52"/>
                            </w:rPr>
                            <w:t>2018</w:t>
                          </w:r>
                        </w:p>
                        <w:p w:rsidR="0002143D" w:rsidRDefault="0002143D" w:rsidP="00730D69">
                          <w:pPr>
                            <w:jc w:val="center"/>
                            <w:rPr>
                              <w:b/>
                              <w:sz w:val="52"/>
                            </w:rPr>
                          </w:pPr>
                        </w:p>
                        <w:p w:rsidR="0002143D" w:rsidRDefault="0002143D" w:rsidP="00730D69">
                          <w:pPr>
                            <w:jc w:val="center"/>
                            <w:rPr>
                              <w:b/>
                              <w:sz w:val="52"/>
                            </w:rPr>
                          </w:pPr>
                        </w:p>
                        <w:p w:rsidR="0002143D" w:rsidRDefault="0002143D" w:rsidP="00730D69">
                          <w:pPr>
                            <w:jc w:val="center"/>
                            <w:rPr>
                              <w:b/>
                              <w:sz w:val="52"/>
                            </w:rPr>
                          </w:pPr>
                        </w:p>
                        <w:p w:rsidR="0002143D" w:rsidRPr="00730D69" w:rsidRDefault="0002143D" w:rsidP="00730D69">
                          <w:pPr>
                            <w:jc w:val="center"/>
                            <w:rPr>
                              <w:b/>
                              <w:sz w:val="52"/>
                            </w:rPr>
                          </w:pPr>
                        </w:p>
                      </w:txbxContent>
                    </v:textbox>
                  </v:shape>
                </w:pict>
              </mc:Fallback>
            </mc:AlternateContent>
          </w:r>
          <w:r>
            <w:rPr>
              <w:noProof/>
              <w:lang w:eastAsia="en-GB"/>
            </w:rPr>
            <w:drawing>
              <wp:anchor distT="0" distB="0" distL="114300" distR="114300" simplePos="0" relativeHeight="251660288" behindDoc="0" locked="0" layoutInCell="1" allowOverlap="1" wp14:anchorId="29F025AE" wp14:editId="7CE248C4">
                <wp:simplePos x="0" y="0"/>
                <wp:positionH relativeFrom="column">
                  <wp:posOffset>559435</wp:posOffset>
                </wp:positionH>
                <wp:positionV relativeFrom="paragraph">
                  <wp:posOffset>0</wp:posOffset>
                </wp:positionV>
                <wp:extent cx="4612640" cy="4612640"/>
                <wp:effectExtent l="0" t="0" r="0" b="0"/>
                <wp:wrapSquare wrapText="bothSides"/>
                <wp:docPr id="1" name="Picture 1" descr="https://intranet.northyorksfire.gov.uk/ws002/Corporate%20Templates/NYFRS%20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orthyorksfire.gov.uk/ws002/Corporate%20Templates/NYFRS%20Cr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2640" cy="461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28D">
            <w:rPr>
              <w:rFonts w:ascii="Arial" w:hAnsi="Arial" w:cs="Arial"/>
              <w:b/>
              <w:u w:val="single"/>
            </w:rPr>
            <w:br w:type="page"/>
          </w:r>
        </w:p>
      </w:sdtContent>
    </w:sdt>
    <w:p w:rsidR="0024428D" w:rsidRDefault="0024428D" w:rsidP="00A87614">
      <w:pPr>
        <w:spacing w:after="0" w:line="240" w:lineRule="auto"/>
        <w:jc w:val="both"/>
        <w:rPr>
          <w:rFonts w:ascii="Arial" w:hAnsi="Arial" w:cs="Arial"/>
        </w:rPr>
      </w:pPr>
    </w:p>
    <w:p w:rsidR="0032068B" w:rsidRPr="0032068B" w:rsidRDefault="0032068B" w:rsidP="00A87614">
      <w:pPr>
        <w:spacing w:after="0" w:line="240" w:lineRule="auto"/>
        <w:jc w:val="both"/>
        <w:rPr>
          <w:rFonts w:ascii="Arial" w:hAnsi="Arial" w:cs="Arial"/>
          <w:b/>
          <w:u w:val="single"/>
        </w:rPr>
      </w:pPr>
      <w:r w:rsidRPr="0032068B">
        <w:rPr>
          <w:rFonts w:ascii="Arial" w:hAnsi="Arial" w:cs="Arial"/>
          <w:b/>
          <w:u w:val="single"/>
        </w:rPr>
        <w:t xml:space="preserve">Introduction </w:t>
      </w:r>
    </w:p>
    <w:p w:rsidR="0032068B" w:rsidRDefault="0032068B" w:rsidP="00A87614">
      <w:pPr>
        <w:spacing w:after="0" w:line="240" w:lineRule="auto"/>
        <w:jc w:val="both"/>
        <w:rPr>
          <w:rFonts w:ascii="Arial" w:hAnsi="Arial" w:cs="Arial"/>
        </w:rPr>
      </w:pPr>
    </w:p>
    <w:p w:rsidR="00D91983" w:rsidRDefault="004A6B6D" w:rsidP="00A87614">
      <w:pPr>
        <w:spacing w:after="0" w:line="240" w:lineRule="auto"/>
        <w:jc w:val="both"/>
        <w:rPr>
          <w:rFonts w:ascii="Arial" w:hAnsi="Arial" w:cs="Arial"/>
        </w:rPr>
      </w:pPr>
      <w:r w:rsidRPr="004A6B6D">
        <w:rPr>
          <w:rFonts w:ascii="Arial" w:hAnsi="Arial" w:cs="Arial"/>
        </w:rPr>
        <w:t xml:space="preserve">This report covers </w:t>
      </w:r>
      <w:r>
        <w:rPr>
          <w:rFonts w:ascii="Arial" w:hAnsi="Arial" w:cs="Arial"/>
        </w:rPr>
        <w:t xml:space="preserve">North Yorkshire </w:t>
      </w:r>
      <w:r w:rsidRPr="004A6B6D">
        <w:rPr>
          <w:rFonts w:ascii="Arial" w:hAnsi="Arial" w:cs="Arial"/>
        </w:rPr>
        <w:t>Fire and Rescue Service’s (</w:t>
      </w:r>
      <w:r>
        <w:rPr>
          <w:rFonts w:ascii="Arial" w:hAnsi="Arial" w:cs="Arial"/>
        </w:rPr>
        <w:t>NYF</w:t>
      </w:r>
      <w:r w:rsidRPr="004A6B6D">
        <w:rPr>
          <w:rFonts w:ascii="Arial" w:hAnsi="Arial" w:cs="Arial"/>
        </w:rPr>
        <w:t>RS) obligations under the Equality</w:t>
      </w:r>
      <w:r>
        <w:rPr>
          <w:rFonts w:ascii="Arial" w:hAnsi="Arial" w:cs="Arial"/>
        </w:rPr>
        <w:t xml:space="preserve"> </w:t>
      </w:r>
      <w:r w:rsidRPr="004A6B6D">
        <w:rPr>
          <w:rFonts w:ascii="Arial" w:hAnsi="Arial" w:cs="Arial"/>
        </w:rPr>
        <w:t>Act 2010 (Gender Pay Information Regulations 2017) to publish an annual Gender Pay Gap</w:t>
      </w:r>
      <w:r>
        <w:rPr>
          <w:rFonts w:ascii="Arial" w:hAnsi="Arial" w:cs="Arial"/>
        </w:rPr>
        <w:t xml:space="preserve"> </w:t>
      </w:r>
      <w:r w:rsidRPr="004A6B6D">
        <w:rPr>
          <w:rFonts w:ascii="Arial" w:hAnsi="Arial" w:cs="Arial"/>
        </w:rPr>
        <w:t>report.</w:t>
      </w:r>
      <w:r w:rsidR="007A6353">
        <w:rPr>
          <w:rFonts w:ascii="Arial" w:hAnsi="Arial" w:cs="Arial"/>
        </w:rPr>
        <w:t xml:space="preserve">  The snapshot date is 31/03/2018.  This is the key date for which many of the details required to undertake the calculations come from and it is also the date by which NYFRS must publish their report. </w:t>
      </w:r>
      <w:r w:rsidRPr="004A6B6D">
        <w:rPr>
          <w:rFonts w:ascii="Arial" w:hAnsi="Arial" w:cs="Arial"/>
        </w:rPr>
        <w:t xml:space="preserve"> </w:t>
      </w:r>
    </w:p>
    <w:p w:rsidR="00CD15BE" w:rsidRDefault="00CD15BE" w:rsidP="00D91983">
      <w:pPr>
        <w:spacing w:after="0" w:line="240" w:lineRule="auto"/>
        <w:rPr>
          <w:rFonts w:ascii="Arial" w:hAnsi="Arial" w:cs="Arial"/>
        </w:rPr>
      </w:pPr>
    </w:p>
    <w:p w:rsidR="00CD15BE" w:rsidRDefault="00CD15BE" w:rsidP="00CD15BE">
      <w:pPr>
        <w:spacing w:after="0" w:line="240" w:lineRule="auto"/>
        <w:jc w:val="both"/>
        <w:rPr>
          <w:rFonts w:ascii="Arial" w:hAnsi="Arial" w:cs="Arial"/>
        </w:rPr>
      </w:pPr>
      <w:r>
        <w:rPr>
          <w:rFonts w:ascii="Arial" w:hAnsi="Arial" w:cs="Arial"/>
        </w:rPr>
        <w:t>Gender pay reporting is a different requirement to carrying out an equal pay audit. It is not a review of equal pay for equal work but</w:t>
      </w:r>
      <w:r w:rsidR="005E70BD">
        <w:rPr>
          <w:rFonts w:ascii="Arial" w:hAnsi="Arial" w:cs="Arial"/>
        </w:rPr>
        <w:t>, instead,</w:t>
      </w:r>
      <w:r>
        <w:rPr>
          <w:rFonts w:ascii="Arial" w:hAnsi="Arial" w:cs="Arial"/>
        </w:rPr>
        <w:t xml:space="preserve"> compares hourly rates of pay and bonuses staff may receive by gender, and identifies if there are any imbalances in pay.  </w:t>
      </w:r>
    </w:p>
    <w:p w:rsidR="00CD15BE" w:rsidRDefault="00CD15BE" w:rsidP="00CD15BE">
      <w:pPr>
        <w:spacing w:after="0" w:line="240" w:lineRule="auto"/>
        <w:jc w:val="both"/>
        <w:rPr>
          <w:rFonts w:ascii="Arial" w:hAnsi="Arial" w:cs="Arial"/>
        </w:rPr>
      </w:pPr>
    </w:p>
    <w:p w:rsidR="00CD15BE" w:rsidRDefault="00CD15BE" w:rsidP="00CD15BE">
      <w:pPr>
        <w:spacing w:after="0" w:line="240" w:lineRule="auto"/>
        <w:rPr>
          <w:rFonts w:ascii="Arial" w:hAnsi="Arial" w:cs="Arial"/>
        </w:rPr>
      </w:pPr>
      <w:r w:rsidRPr="003276E1">
        <w:rPr>
          <w:rFonts w:ascii="Arial" w:hAnsi="Arial" w:cs="Arial"/>
        </w:rPr>
        <w:t xml:space="preserve">We have conducted our analysis in line with gender pay gap regulations which require disclosure of data for all UK legal entities employing more than 250 employees.  </w:t>
      </w:r>
      <w:r>
        <w:rPr>
          <w:rFonts w:ascii="Arial" w:hAnsi="Arial" w:cs="Arial"/>
        </w:rPr>
        <w:t>The report is published both internally and externally.</w:t>
      </w:r>
    </w:p>
    <w:p w:rsidR="00CD15BE" w:rsidRDefault="00CD15BE" w:rsidP="00CD15BE">
      <w:pPr>
        <w:spacing w:after="0" w:line="240" w:lineRule="auto"/>
        <w:jc w:val="both"/>
        <w:rPr>
          <w:rFonts w:ascii="Arial" w:hAnsi="Arial" w:cs="Arial"/>
        </w:rPr>
      </w:pPr>
    </w:p>
    <w:p w:rsidR="00CD15BE" w:rsidRDefault="00CD15BE" w:rsidP="00CD15BE">
      <w:pPr>
        <w:spacing w:after="0" w:line="240" w:lineRule="auto"/>
        <w:jc w:val="both"/>
        <w:rPr>
          <w:rFonts w:ascii="Arial" w:hAnsi="Arial" w:cs="Arial"/>
        </w:rPr>
      </w:pPr>
      <w:r>
        <w:rPr>
          <w:rFonts w:ascii="Arial" w:hAnsi="Arial" w:cs="Arial"/>
        </w:rPr>
        <w:t xml:space="preserve">As part of the report, the Service is required to provide an explanation of the cause of any pay gap.  The information is used to look at any gender imbalance across the workforce and the balance of male and female employees across different levels.  </w:t>
      </w:r>
    </w:p>
    <w:p w:rsidR="0002143D" w:rsidRDefault="0002143D" w:rsidP="00D91983">
      <w:pPr>
        <w:spacing w:after="0" w:line="240" w:lineRule="auto"/>
        <w:rPr>
          <w:rFonts w:ascii="Arial" w:hAnsi="Arial" w:cs="Arial"/>
          <w:highlight w:val="yellow"/>
        </w:rPr>
      </w:pPr>
    </w:p>
    <w:p w:rsidR="00860FA9" w:rsidRDefault="00860FA9" w:rsidP="00A87614">
      <w:pPr>
        <w:spacing w:after="0" w:line="240" w:lineRule="auto"/>
        <w:jc w:val="both"/>
        <w:rPr>
          <w:rFonts w:ascii="Arial" w:hAnsi="Arial" w:cs="Arial"/>
        </w:rPr>
      </w:pPr>
      <w:r>
        <w:rPr>
          <w:rFonts w:ascii="Arial" w:hAnsi="Arial" w:cs="Arial"/>
        </w:rPr>
        <w:t xml:space="preserve">The </w:t>
      </w:r>
      <w:r w:rsidR="005920CC">
        <w:rPr>
          <w:rFonts w:ascii="Arial" w:hAnsi="Arial" w:cs="Arial"/>
        </w:rPr>
        <w:t>Service is required to publish the following information</w:t>
      </w:r>
      <w:r w:rsidR="007F6CD3">
        <w:rPr>
          <w:rFonts w:ascii="Arial" w:hAnsi="Arial" w:cs="Arial"/>
        </w:rPr>
        <w:t>:</w:t>
      </w:r>
      <w:r>
        <w:rPr>
          <w:rFonts w:ascii="Arial" w:hAnsi="Arial" w:cs="Arial"/>
        </w:rPr>
        <w:t xml:space="preserve"> </w:t>
      </w:r>
    </w:p>
    <w:p w:rsidR="00A87614" w:rsidRDefault="00A87614" w:rsidP="00A87614">
      <w:pPr>
        <w:spacing w:after="0" w:line="240" w:lineRule="auto"/>
        <w:jc w:val="both"/>
        <w:rPr>
          <w:rFonts w:ascii="Arial" w:hAnsi="Arial" w:cs="Arial"/>
        </w:rPr>
      </w:pPr>
    </w:p>
    <w:p w:rsidR="00860FA9" w:rsidRPr="00860FA9" w:rsidRDefault="005920CC" w:rsidP="00A87614">
      <w:pPr>
        <w:numPr>
          <w:ilvl w:val="0"/>
          <w:numId w:val="8"/>
        </w:numPr>
        <w:spacing w:after="0" w:line="240" w:lineRule="auto"/>
        <w:ind w:left="0" w:firstLine="0"/>
        <w:jc w:val="both"/>
        <w:rPr>
          <w:rFonts w:ascii="Arial" w:eastAsia="Times New Roman" w:hAnsi="Arial" w:cs="Arial"/>
          <w:lang w:val="en" w:eastAsia="en-GB"/>
        </w:rPr>
      </w:pPr>
      <w:r>
        <w:rPr>
          <w:rFonts w:ascii="Arial" w:eastAsia="Times New Roman" w:hAnsi="Arial" w:cs="Arial"/>
          <w:lang w:val="en" w:eastAsia="en-GB"/>
        </w:rPr>
        <w:t>M</w:t>
      </w:r>
      <w:r w:rsidR="00860FA9" w:rsidRPr="00860FA9">
        <w:rPr>
          <w:rFonts w:ascii="Arial" w:eastAsia="Times New Roman" w:hAnsi="Arial" w:cs="Arial"/>
          <w:lang w:val="en" w:eastAsia="en-GB"/>
        </w:rPr>
        <w:t>ean gender pay gap</w:t>
      </w:r>
    </w:p>
    <w:p w:rsidR="00860FA9" w:rsidRPr="00860FA9" w:rsidRDefault="005920CC" w:rsidP="00A87614">
      <w:pPr>
        <w:numPr>
          <w:ilvl w:val="0"/>
          <w:numId w:val="8"/>
        </w:numPr>
        <w:spacing w:after="0" w:line="240" w:lineRule="auto"/>
        <w:ind w:left="0" w:firstLine="0"/>
        <w:jc w:val="both"/>
        <w:rPr>
          <w:rFonts w:ascii="Arial" w:eastAsia="Times New Roman" w:hAnsi="Arial" w:cs="Arial"/>
          <w:lang w:val="en" w:eastAsia="en-GB"/>
        </w:rPr>
      </w:pPr>
      <w:r>
        <w:rPr>
          <w:rFonts w:ascii="Arial" w:eastAsia="Times New Roman" w:hAnsi="Arial" w:cs="Arial"/>
          <w:lang w:val="en" w:eastAsia="en-GB"/>
        </w:rPr>
        <w:t>M</w:t>
      </w:r>
      <w:r w:rsidR="00860FA9" w:rsidRPr="00860FA9">
        <w:rPr>
          <w:rFonts w:ascii="Arial" w:eastAsia="Times New Roman" w:hAnsi="Arial" w:cs="Arial"/>
          <w:lang w:val="en" w:eastAsia="en-GB"/>
        </w:rPr>
        <w:t>edian gender pay gap</w:t>
      </w:r>
    </w:p>
    <w:p w:rsidR="00860FA9" w:rsidRPr="00860FA9" w:rsidRDefault="005920CC" w:rsidP="00A87614">
      <w:pPr>
        <w:numPr>
          <w:ilvl w:val="0"/>
          <w:numId w:val="8"/>
        </w:numPr>
        <w:spacing w:after="0" w:line="240" w:lineRule="auto"/>
        <w:ind w:left="0" w:firstLine="0"/>
        <w:jc w:val="both"/>
        <w:rPr>
          <w:rFonts w:ascii="Arial" w:eastAsia="Times New Roman" w:hAnsi="Arial" w:cs="Arial"/>
          <w:lang w:val="en" w:eastAsia="en-GB"/>
        </w:rPr>
      </w:pPr>
      <w:r>
        <w:rPr>
          <w:rFonts w:ascii="Arial" w:eastAsia="Times New Roman" w:hAnsi="Arial" w:cs="Arial"/>
          <w:lang w:val="en" w:eastAsia="en-GB"/>
        </w:rPr>
        <w:t>M</w:t>
      </w:r>
      <w:r w:rsidR="00860FA9" w:rsidRPr="00860FA9">
        <w:rPr>
          <w:rFonts w:ascii="Arial" w:eastAsia="Times New Roman" w:hAnsi="Arial" w:cs="Arial"/>
          <w:lang w:val="en" w:eastAsia="en-GB"/>
        </w:rPr>
        <w:t>ean bonus gender pay gap</w:t>
      </w:r>
    </w:p>
    <w:p w:rsidR="00860FA9" w:rsidRPr="00860FA9" w:rsidRDefault="005920CC" w:rsidP="00A87614">
      <w:pPr>
        <w:numPr>
          <w:ilvl w:val="0"/>
          <w:numId w:val="8"/>
        </w:numPr>
        <w:spacing w:after="0" w:line="240" w:lineRule="auto"/>
        <w:ind w:left="0" w:firstLine="0"/>
        <w:jc w:val="both"/>
        <w:rPr>
          <w:rFonts w:ascii="Arial" w:eastAsia="Times New Roman" w:hAnsi="Arial" w:cs="Arial"/>
          <w:lang w:val="en" w:eastAsia="en-GB"/>
        </w:rPr>
      </w:pPr>
      <w:r>
        <w:rPr>
          <w:rFonts w:ascii="Arial" w:eastAsia="Times New Roman" w:hAnsi="Arial" w:cs="Arial"/>
          <w:lang w:val="en" w:eastAsia="en-GB"/>
        </w:rPr>
        <w:t>M</w:t>
      </w:r>
      <w:r w:rsidR="00860FA9" w:rsidRPr="00860FA9">
        <w:rPr>
          <w:rFonts w:ascii="Arial" w:eastAsia="Times New Roman" w:hAnsi="Arial" w:cs="Arial"/>
          <w:lang w:val="en" w:eastAsia="en-GB"/>
        </w:rPr>
        <w:t>edian bonus gender pay gap</w:t>
      </w:r>
    </w:p>
    <w:p w:rsidR="00860FA9" w:rsidRPr="00860FA9" w:rsidRDefault="005920CC" w:rsidP="00A87614">
      <w:pPr>
        <w:numPr>
          <w:ilvl w:val="0"/>
          <w:numId w:val="8"/>
        </w:numPr>
        <w:spacing w:after="0" w:line="240" w:lineRule="auto"/>
        <w:ind w:left="0" w:firstLine="0"/>
        <w:jc w:val="both"/>
        <w:rPr>
          <w:rFonts w:ascii="Arial" w:eastAsia="Times New Roman" w:hAnsi="Arial" w:cs="Arial"/>
          <w:lang w:val="en" w:eastAsia="en-GB"/>
        </w:rPr>
      </w:pPr>
      <w:r>
        <w:rPr>
          <w:rFonts w:ascii="Arial" w:eastAsia="Times New Roman" w:hAnsi="Arial" w:cs="Arial"/>
          <w:lang w:val="en" w:eastAsia="en-GB"/>
        </w:rPr>
        <w:t>P</w:t>
      </w:r>
      <w:r w:rsidR="00860FA9" w:rsidRPr="00860FA9">
        <w:rPr>
          <w:rFonts w:ascii="Arial" w:eastAsia="Times New Roman" w:hAnsi="Arial" w:cs="Arial"/>
          <w:lang w:val="en" w:eastAsia="en-GB"/>
        </w:rPr>
        <w:t>roportion of males and females receiving a bonus payment</w:t>
      </w:r>
    </w:p>
    <w:p w:rsidR="00860FA9" w:rsidRDefault="005920CC" w:rsidP="00A87614">
      <w:pPr>
        <w:numPr>
          <w:ilvl w:val="0"/>
          <w:numId w:val="8"/>
        </w:numPr>
        <w:spacing w:after="0" w:line="240" w:lineRule="auto"/>
        <w:ind w:left="0" w:firstLine="0"/>
        <w:jc w:val="both"/>
        <w:rPr>
          <w:rFonts w:ascii="Arial" w:eastAsia="Times New Roman" w:hAnsi="Arial" w:cs="Arial"/>
          <w:lang w:val="en" w:eastAsia="en-GB"/>
        </w:rPr>
      </w:pPr>
      <w:r>
        <w:rPr>
          <w:rFonts w:ascii="Arial" w:eastAsia="Times New Roman" w:hAnsi="Arial" w:cs="Arial"/>
          <w:lang w:val="en" w:eastAsia="en-GB"/>
        </w:rPr>
        <w:t>P</w:t>
      </w:r>
      <w:r w:rsidR="00860FA9" w:rsidRPr="00860FA9">
        <w:rPr>
          <w:rFonts w:ascii="Arial" w:eastAsia="Times New Roman" w:hAnsi="Arial" w:cs="Arial"/>
          <w:lang w:val="en" w:eastAsia="en-GB"/>
        </w:rPr>
        <w:t>roportion of males and females in each pay quartile</w:t>
      </w:r>
    </w:p>
    <w:p w:rsidR="00A87614" w:rsidRDefault="00A87614" w:rsidP="00A87614">
      <w:pPr>
        <w:spacing w:after="0" w:line="240" w:lineRule="auto"/>
        <w:jc w:val="both"/>
        <w:rPr>
          <w:rFonts w:ascii="Arial" w:eastAsia="Times New Roman" w:hAnsi="Arial" w:cs="Arial"/>
          <w:lang w:val="en" w:eastAsia="en-GB"/>
        </w:rPr>
      </w:pPr>
    </w:p>
    <w:p w:rsidR="00DA58A8" w:rsidRPr="00860FA9" w:rsidRDefault="00DA58A8" w:rsidP="00A87614">
      <w:pPr>
        <w:spacing w:after="0" w:line="240" w:lineRule="auto"/>
        <w:jc w:val="both"/>
        <w:rPr>
          <w:rFonts w:ascii="Arial" w:eastAsia="Times New Roman" w:hAnsi="Arial" w:cs="Arial"/>
          <w:lang w:val="en"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5"/>
        <w:gridCol w:w="5760"/>
      </w:tblGrid>
      <w:tr w:rsidR="00DA58A8" w:rsidRPr="00004DC8" w:rsidTr="00DA58A8">
        <w:tc>
          <w:tcPr>
            <w:tcW w:w="2895"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 xml:space="preserve">Mean gender pay gap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The difference between the mean hourly rate of pay of</w:t>
            </w:r>
            <w:r w:rsidRPr="00004DC8">
              <w:rPr>
                <w:rFonts w:ascii="Arial" w:eastAsia="Times New Roman" w:hAnsi="Arial" w:cs="Arial"/>
                <w:color w:val="000000"/>
                <w:lang w:eastAsia="en-GB"/>
              </w:rPr>
              <w:br/>
              <w:t>male employees and that of female employees as a</w:t>
            </w:r>
            <w:r w:rsidRPr="00004DC8">
              <w:rPr>
                <w:rFonts w:ascii="Arial" w:eastAsia="Times New Roman" w:hAnsi="Arial" w:cs="Arial"/>
                <w:color w:val="000000"/>
                <w:lang w:eastAsia="en-GB"/>
              </w:rPr>
              <w:br/>
              <w:t>percentage</w:t>
            </w:r>
            <w:r w:rsidR="00B5401D" w:rsidRPr="00004DC8">
              <w:rPr>
                <w:rFonts w:ascii="Arial" w:eastAsia="Times New Roman" w:hAnsi="Arial" w:cs="Arial"/>
                <w:color w:val="000000"/>
                <w:lang w:eastAsia="en-GB"/>
              </w:rPr>
              <w:t>.</w:t>
            </w:r>
          </w:p>
        </w:tc>
      </w:tr>
      <w:tr w:rsidR="00DA58A8" w:rsidRPr="00004DC8" w:rsidTr="00DA58A8">
        <w:tc>
          <w:tcPr>
            <w:tcW w:w="2895"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 xml:space="preserve">Median gender pay gap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The difference between the median hourly rate of pay of</w:t>
            </w:r>
            <w:r w:rsidRPr="00004DC8">
              <w:rPr>
                <w:rFonts w:ascii="Arial" w:eastAsia="Times New Roman" w:hAnsi="Arial" w:cs="Arial"/>
                <w:color w:val="000000"/>
                <w:lang w:eastAsia="en-GB"/>
              </w:rPr>
              <w:br/>
              <w:t>male employees and that of female employees as a</w:t>
            </w:r>
            <w:r w:rsidRPr="00004DC8">
              <w:rPr>
                <w:rFonts w:ascii="Arial" w:eastAsia="Times New Roman" w:hAnsi="Arial" w:cs="Arial"/>
                <w:color w:val="000000"/>
                <w:lang w:eastAsia="en-GB"/>
              </w:rPr>
              <w:br/>
              <w:t>percentage</w:t>
            </w:r>
            <w:r w:rsidR="00B5401D" w:rsidRPr="00004DC8">
              <w:rPr>
                <w:rFonts w:ascii="Arial" w:eastAsia="Times New Roman" w:hAnsi="Arial" w:cs="Arial"/>
                <w:color w:val="000000"/>
                <w:lang w:eastAsia="en-GB"/>
              </w:rPr>
              <w:t>.</w:t>
            </w:r>
          </w:p>
        </w:tc>
      </w:tr>
      <w:tr w:rsidR="00DA58A8" w:rsidRPr="00004DC8" w:rsidTr="00DA58A8">
        <w:tc>
          <w:tcPr>
            <w:tcW w:w="2895"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 xml:space="preserve">Mean bonus pay cap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B5401D">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The difference between the mean bonus pay paid to male</w:t>
            </w:r>
            <w:r w:rsidR="00B5401D" w:rsidRPr="00004DC8">
              <w:rPr>
                <w:rFonts w:ascii="Arial" w:eastAsia="Times New Roman" w:hAnsi="Arial" w:cs="Arial"/>
                <w:color w:val="000000"/>
                <w:lang w:eastAsia="en-GB"/>
              </w:rPr>
              <w:t xml:space="preserve"> </w:t>
            </w:r>
            <w:r w:rsidRPr="00004DC8">
              <w:rPr>
                <w:rFonts w:ascii="Arial" w:eastAsia="Times New Roman" w:hAnsi="Arial" w:cs="Arial"/>
                <w:color w:val="000000"/>
                <w:lang w:eastAsia="en-GB"/>
              </w:rPr>
              <w:t>employees and that paid to female employees as a</w:t>
            </w:r>
            <w:r w:rsidRPr="00004DC8">
              <w:rPr>
                <w:rFonts w:ascii="Arial" w:eastAsia="Times New Roman" w:hAnsi="Arial" w:cs="Arial"/>
                <w:color w:val="000000"/>
                <w:lang w:eastAsia="en-GB"/>
              </w:rPr>
              <w:br/>
              <w:t>percentage</w:t>
            </w:r>
            <w:r w:rsidR="00B5401D" w:rsidRPr="00004DC8">
              <w:rPr>
                <w:rFonts w:ascii="Arial" w:eastAsia="Times New Roman" w:hAnsi="Arial" w:cs="Arial"/>
                <w:color w:val="000000"/>
                <w:lang w:eastAsia="en-GB"/>
              </w:rPr>
              <w:t>.</w:t>
            </w:r>
          </w:p>
        </w:tc>
      </w:tr>
      <w:tr w:rsidR="00DA58A8" w:rsidRPr="00004DC8" w:rsidTr="00DA58A8">
        <w:tc>
          <w:tcPr>
            <w:tcW w:w="2895"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 xml:space="preserve">Median bonus gap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The difference between the median bonus pay paid to</w:t>
            </w:r>
            <w:r w:rsidRPr="00004DC8">
              <w:rPr>
                <w:rFonts w:ascii="Arial" w:eastAsia="Times New Roman" w:hAnsi="Arial" w:cs="Arial"/>
                <w:color w:val="000000"/>
                <w:lang w:eastAsia="en-GB"/>
              </w:rPr>
              <w:br/>
              <w:t>male employees and that paid to female employees as a</w:t>
            </w:r>
            <w:r w:rsidRPr="00004DC8">
              <w:rPr>
                <w:rFonts w:ascii="Arial" w:eastAsia="Times New Roman" w:hAnsi="Arial" w:cs="Arial"/>
                <w:color w:val="000000"/>
                <w:lang w:eastAsia="en-GB"/>
              </w:rPr>
              <w:br/>
              <w:t>percentage</w:t>
            </w:r>
            <w:r w:rsidR="00B5401D" w:rsidRPr="00004DC8">
              <w:rPr>
                <w:rFonts w:ascii="Arial" w:eastAsia="Times New Roman" w:hAnsi="Arial" w:cs="Arial"/>
                <w:color w:val="000000"/>
                <w:lang w:eastAsia="en-GB"/>
              </w:rPr>
              <w:t>.</w:t>
            </w:r>
          </w:p>
        </w:tc>
      </w:tr>
      <w:tr w:rsidR="00DA58A8" w:rsidRPr="00004DC8" w:rsidTr="00DA58A8">
        <w:tc>
          <w:tcPr>
            <w:tcW w:w="2895"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 xml:space="preserve">Bonus Proportions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The proportions of male and female relevant employees</w:t>
            </w:r>
            <w:r w:rsidRPr="00004DC8">
              <w:rPr>
                <w:rFonts w:ascii="Arial" w:eastAsia="Times New Roman" w:hAnsi="Arial" w:cs="Arial"/>
                <w:color w:val="000000"/>
                <w:lang w:eastAsia="en-GB"/>
              </w:rPr>
              <w:br/>
              <w:t>who were paid a bonus during the relevant period</w:t>
            </w:r>
            <w:r w:rsidR="00004DC8">
              <w:rPr>
                <w:rFonts w:ascii="Arial" w:eastAsia="Times New Roman" w:hAnsi="Arial" w:cs="Arial"/>
                <w:color w:val="000000"/>
                <w:lang w:eastAsia="en-GB"/>
              </w:rPr>
              <w:t>.</w:t>
            </w:r>
          </w:p>
        </w:tc>
      </w:tr>
      <w:tr w:rsidR="00DA58A8" w:rsidRPr="00004DC8" w:rsidTr="00DA58A8">
        <w:tc>
          <w:tcPr>
            <w:tcW w:w="2895"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 xml:space="preserve">Quartile Pay Bands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A58A8" w:rsidRPr="00004DC8" w:rsidRDefault="00DA58A8" w:rsidP="00DA58A8">
            <w:pPr>
              <w:spacing w:after="0" w:line="240" w:lineRule="auto"/>
              <w:rPr>
                <w:rFonts w:ascii="Arial" w:eastAsia="Times New Roman" w:hAnsi="Arial" w:cs="Arial"/>
                <w:lang w:eastAsia="en-GB"/>
              </w:rPr>
            </w:pPr>
            <w:r w:rsidRPr="00004DC8">
              <w:rPr>
                <w:rFonts w:ascii="Arial" w:eastAsia="Times New Roman" w:hAnsi="Arial" w:cs="Arial"/>
                <w:color w:val="000000"/>
                <w:lang w:eastAsia="en-GB"/>
              </w:rPr>
              <w:t>The proportions of male and female employees in the</w:t>
            </w:r>
            <w:r w:rsidRPr="00004DC8">
              <w:rPr>
                <w:rFonts w:ascii="Arial" w:eastAsia="Times New Roman" w:hAnsi="Arial" w:cs="Arial"/>
                <w:color w:val="000000"/>
                <w:lang w:eastAsia="en-GB"/>
              </w:rPr>
              <w:br/>
              <w:t>lower, lower middle, upper middle and upper quartile pay</w:t>
            </w:r>
            <w:r w:rsidR="00DB6EC6" w:rsidRPr="00004DC8">
              <w:rPr>
                <w:rFonts w:ascii="Arial" w:eastAsia="Times New Roman" w:hAnsi="Arial" w:cs="Arial"/>
                <w:color w:val="000000"/>
                <w:lang w:eastAsia="en-GB"/>
              </w:rPr>
              <w:t xml:space="preserve"> </w:t>
            </w:r>
            <w:r w:rsidRPr="00004DC8">
              <w:rPr>
                <w:rFonts w:ascii="Arial" w:eastAsia="Times New Roman" w:hAnsi="Arial" w:cs="Arial"/>
                <w:color w:val="000000"/>
                <w:lang w:eastAsia="en-GB"/>
              </w:rPr>
              <w:t>bands</w:t>
            </w:r>
          </w:p>
        </w:tc>
      </w:tr>
    </w:tbl>
    <w:p w:rsidR="009E4C7C" w:rsidRDefault="005E70BD" w:rsidP="0081414E">
      <w:pPr>
        <w:rPr>
          <w:rFonts w:ascii="Arial" w:hAnsi="Arial" w:cs="Arial"/>
          <w:b/>
          <w:u w:val="single"/>
        </w:rPr>
      </w:pPr>
      <w:r>
        <w:rPr>
          <w:rFonts w:ascii="Arial" w:hAnsi="Arial" w:cs="Arial"/>
          <w:b/>
          <w:u w:val="single"/>
        </w:rPr>
        <w:t>G</w:t>
      </w:r>
      <w:r w:rsidR="004A6B6D">
        <w:rPr>
          <w:rFonts w:ascii="Arial" w:hAnsi="Arial" w:cs="Arial"/>
          <w:b/>
          <w:u w:val="single"/>
        </w:rPr>
        <w:t>ender Pay</w:t>
      </w:r>
      <w:r w:rsidR="00670761">
        <w:rPr>
          <w:rFonts w:ascii="Arial" w:hAnsi="Arial" w:cs="Arial"/>
          <w:b/>
          <w:u w:val="single"/>
        </w:rPr>
        <w:t xml:space="preserve"> Gap </w:t>
      </w:r>
      <w:r w:rsidR="004A6B6D">
        <w:rPr>
          <w:rFonts w:ascii="Arial" w:hAnsi="Arial" w:cs="Arial"/>
          <w:b/>
          <w:u w:val="single"/>
        </w:rPr>
        <w:t xml:space="preserve"> </w:t>
      </w:r>
    </w:p>
    <w:p w:rsidR="009E4C7C" w:rsidRDefault="009E4C7C" w:rsidP="00A87614">
      <w:pPr>
        <w:spacing w:after="0" w:line="240" w:lineRule="auto"/>
        <w:jc w:val="both"/>
        <w:rPr>
          <w:rFonts w:ascii="Arial" w:hAnsi="Arial" w:cs="Arial"/>
        </w:rPr>
      </w:pPr>
      <w:r>
        <w:rPr>
          <w:rFonts w:ascii="Arial" w:hAnsi="Arial" w:cs="Arial"/>
        </w:rPr>
        <w:t>A gender pay gap shows the difference between the average hourly earning</w:t>
      </w:r>
      <w:r w:rsidR="009A5E3A">
        <w:rPr>
          <w:rFonts w:ascii="Arial" w:hAnsi="Arial" w:cs="Arial"/>
        </w:rPr>
        <w:t>s</w:t>
      </w:r>
      <w:r>
        <w:rPr>
          <w:rFonts w:ascii="Arial" w:hAnsi="Arial" w:cs="Arial"/>
        </w:rPr>
        <w:t xml:space="preserve"> of men and women.  This is expressed as a percenta</w:t>
      </w:r>
      <w:r w:rsidR="00102B00">
        <w:rPr>
          <w:rFonts w:ascii="Arial" w:hAnsi="Arial" w:cs="Arial"/>
        </w:rPr>
        <w:t xml:space="preserve">ge of </w:t>
      </w:r>
      <w:r w:rsidR="00867544">
        <w:rPr>
          <w:rFonts w:ascii="Arial" w:hAnsi="Arial" w:cs="Arial"/>
        </w:rPr>
        <w:t>men’s</w:t>
      </w:r>
      <w:r>
        <w:rPr>
          <w:rFonts w:ascii="Arial" w:hAnsi="Arial" w:cs="Arial"/>
        </w:rPr>
        <w:t xml:space="preserve"> earnings e.g. a gender pay gap of 18% indicates women earn 18% less</w:t>
      </w:r>
      <w:r w:rsidR="009A5E3A">
        <w:rPr>
          <w:rFonts w:ascii="Arial" w:hAnsi="Arial" w:cs="Arial"/>
        </w:rPr>
        <w:t xml:space="preserve"> on average</w:t>
      </w:r>
      <w:r>
        <w:rPr>
          <w:rFonts w:ascii="Arial" w:hAnsi="Arial" w:cs="Arial"/>
        </w:rPr>
        <w:t xml:space="preserve"> than</w:t>
      </w:r>
      <w:r w:rsidR="00F657AA">
        <w:rPr>
          <w:rFonts w:ascii="Arial" w:hAnsi="Arial" w:cs="Arial"/>
        </w:rPr>
        <w:t xml:space="preserve"> men.  </w:t>
      </w:r>
    </w:p>
    <w:p w:rsidR="00A87614" w:rsidRDefault="00A87614" w:rsidP="00A87614">
      <w:pPr>
        <w:spacing w:after="0" w:line="240" w:lineRule="auto"/>
        <w:jc w:val="both"/>
        <w:rPr>
          <w:rFonts w:ascii="Arial" w:hAnsi="Arial" w:cs="Arial"/>
        </w:rPr>
      </w:pPr>
    </w:p>
    <w:p w:rsidR="004C4B8E" w:rsidRDefault="002C49E4" w:rsidP="0081414E">
      <w:pPr>
        <w:rPr>
          <w:rFonts w:ascii="Arial" w:hAnsi="Arial" w:cs="Arial"/>
          <w:b/>
          <w:u w:val="single"/>
        </w:rPr>
      </w:pPr>
      <w:r w:rsidRPr="004C4B8E">
        <w:rPr>
          <w:rFonts w:ascii="Arial" w:hAnsi="Arial" w:cs="Arial"/>
          <w:b/>
          <w:u w:val="single"/>
        </w:rPr>
        <w:t>Workforce I</w:t>
      </w:r>
      <w:r w:rsidR="00031061" w:rsidRPr="004C4B8E">
        <w:rPr>
          <w:rFonts w:ascii="Arial" w:hAnsi="Arial" w:cs="Arial"/>
          <w:b/>
          <w:u w:val="single"/>
        </w:rPr>
        <w:t>nformation</w:t>
      </w:r>
    </w:p>
    <w:p w:rsidR="000E55E3" w:rsidRDefault="00670761" w:rsidP="00DA58A8">
      <w:pPr>
        <w:rPr>
          <w:rFonts w:ascii="Arial" w:hAnsi="Arial" w:cs="Arial"/>
        </w:rPr>
      </w:pPr>
      <w:r w:rsidRPr="00670761">
        <w:rPr>
          <w:rFonts w:ascii="Arial" w:hAnsi="Arial" w:cs="Arial"/>
          <w:color w:val="000000"/>
        </w:rPr>
        <w:t>A wide definition of</w:t>
      </w:r>
      <w:r w:rsidR="00D91983">
        <w:rPr>
          <w:rFonts w:ascii="Arial" w:hAnsi="Arial" w:cs="Arial"/>
          <w:color w:val="000000"/>
        </w:rPr>
        <w:t xml:space="preserve"> </w:t>
      </w:r>
      <w:r w:rsidRPr="00670761">
        <w:rPr>
          <w:rFonts w:ascii="Arial" w:hAnsi="Arial" w:cs="Arial"/>
          <w:color w:val="000000"/>
        </w:rPr>
        <w:t>wh</w:t>
      </w:r>
      <w:r w:rsidR="00D91983">
        <w:rPr>
          <w:rFonts w:ascii="Arial" w:hAnsi="Arial" w:cs="Arial"/>
          <w:color w:val="000000"/>
        </w:rPr>
        <w:t xml:space="preserve">o counts as an employee is used. </w:t>
      </w:r>
      <w:r w:rsidR="00784151">
        <w:rPr>
          <w:rFonts w:ascii="Arial" w:hAnsi="Arial" w:cs="Arial"/>
          <w:color w:val="000000"/>
        </w:rPr>
        <w:t xml:space="preserve"> </w:t>
      </w:r>
      <w:r w:rsidR="00D91983">
        <w:rPr>
          <w:rFonts w:ascii="Arial" w:hAnsi="Arial" w:cs="Arial"/>
          <w:color w:val="000000"/>
        </w:rPr>
        <w:t>For N</w:t>
      </w:r>
      <w:r w:rsidR="00784151">
        <w:rPr>
          <w:rFonts w:ascii="Arial" w:hAnsi="Arial" w:cs="Arial"/>
          <w:color w:val="000000"/>
        </w:rPr>
        <w:t xml:space="preserve">orth </w:t>
      </w:r>
      <w:r w:rsidR="00D91983">
        <w:rPr>
          <w:rFonts w:ascii="Arial" w:hAnsi="Arial" w:cs="Arial"/>
          <w:color w:val="000000"/>
        </w:rPr>
        <w:t>Y</w:t>
      </w:r>
      <w:r w:rsidR="00784151">
        <w:rPr>
          <w:rFonts w:ascii="Arial" w:hAnsi="Arial" w:cs="Arial"/>
          <w:color w:val="000000"/>
        </w:rPr>
        <w:t xml:space="preserve">orkshire </w:t>
      </w:r>
      <w:r w:rsidR="00D91983">
        <w:rPr>
          <w:rFonts w:ascii="Arial" w:hAnsi="Arial" w:cs="Arial"/>
          <w:color w:val="000000"/>
        </w:rPr>
        <w:t>F</w:t>
      </w:r>
      <w:r w:rsidR="00784151">
        <w:rPr>
          <w:rFonts w:ascii="Arial" w:hAnsi="Arial" w:cs="Arial"/>
          <w:color w:val="000000"/>
        </w:rPr>
        <w:t xml:space="preserve">ire and </w:t>
      </w:r>
      <w:r w:rsidR="00D91983">
        <w:rPr>
          <w:rFonts w:ascii="Arial" w:hAnsi="Arial" w:cs="Arial"/>
          <w:color w:val="000000"/>
        </w:rPr>
        <w:t>R</w:t>
      </w:r>
      <w:r w:rsidR="00784151">
        <w:rPr>
          <w:rFonts w:ascii="Arial" w:hAnsi="Arial" w:cs="Arial"/>
          <w:color w:val="000000"/>
        </w:rPr>
        <w:t xml:space="preserve">escue </w:t>
      </w:r>
      <w:r w:rsidR="00D91983">
        <w:rPr>
          <w:rFonts w:ascii="Arial" w:hAnsi="Arial" w:cs="Arial"/>
          <w:color w:val="000000"/>
        </w:rPr>
        <w:t>S</w:t>
      </w:r>
      <w:r w:rsidR="00784151">
        <w:rPr>
          <w:rFonts w:ascii="Arial" w:hAnsi="Arial" w:cs="Arial"/>
          <w:color w:val="000000"/>
        </w:rPr>
        <w:t>ervice</w:t>
      </w:r>
      <w:r w:rsidR="00D91983">
        <w:rPr>
          <w:rFonts w:ascii="Arial" w:hAnsi="Arial" w:cs="Arial"/>
          <w:color w:val="000000"/>
        </w:rPr>
        <w:t xml:space="preserve"> </w:t>
      </w:r>
      <w:r w:rsidRPr="00670761">
        <w:rPr>
          <w:rFonts w:ascii="Arial" w:hAnsi="Arial" w:cs="Arial"/>
          <w:color w:val="000000"/>
        </w:rPr>
        <w:t>thi</w:t>
      </w:r>
      <w:r w:rsidR="00D91983">
        <w:rPr>
          <w:rFonts w:ascii="Arial" w:hAnsi="Arial" w:cs="Arial"/>
          <w:color w:val="000000"/>
        </w:rPr>
        <w:t xml:space="preserve">s includes all employees under “Green Book” </w:t>
      </w:r>
      <w:r w:rsidR="003762ED">
        <w:rPr>
          <w:rFonts w:ascii="Arial" w:hAnsi="Arial" w:cs="Arial"/>
          <w:color w:val="000000"/>
        </w:rPr>
        <w:t>(</w:t>
      </w:r>
      <w:r w:rsidR="0002143D">
        <w:rPr>
          <w:rFonts w:ascii="Arial" w:hAnsi="Arial" w:cs="Arial"/>
          <w:color w:val="000000"/>
        </w:rPr>
        <w:t>Support Staff</w:t>
      </w:r>
      <w:r w:rsidR="003762ED">
        <w:rPr>
          <w:rFonts w:ascii="Arial" w:hAnsi="Arial" w:cs="Arial"/>
          <w:color w:val="000000"/>
        </w:rPr>
        <w:t xml:space="preserve">) </w:t>
      </w:r>
      <w:r w:rsidR="00D91983">
        <w:rPr>
          <w:rFonts w:ascii="Arial" w:hAnsi="Arial" w:cs="Arial"/>
          <w:color w:val="000000"/>
        </w:rPr>
        <w:t>and</w:t>
      </w:r>
      <w:r w:rsidRPr="00670761">
        <w:rPr>
          <w:rFonts w:ascii="Arial" w:hAnsi="Arial" w:cs="Arial"/>
          <w:color w:val="000000"/>
        </w:rPr>
        <w:t xml:space="preserve"> “Grey Book</w:t>
      </w:r>
      <w:r w:rsidR="003762ED">
        <w:rPr>
          <w:rFonts w:ascii="Arial" w:hAnsi="Arial" w:cs="Arial"/>
          <w:color w:val="000000"/>
        </w:rPr>
        <w:t>”</w:t>
      </w:r>
      <w:r w:rsidRPr="00670761">
        <w:rPr>
          <w:rFonts w:ascii="Arial" w:hAnsi="Arial" w:cs="Arial"/>
          <w:color w:val="000000"/>
        </w:rPr>
        <w:t xml:space="preserve"> </w:t>
      </w:r>
      <w:r w:rsidR="003762ED">
        <w:rPr>
          <w:rFonts w:ascii="Arial" w:hAnsi="Arial" w:cs="Arial"/>
          <w:color w:val="000000"/>
        </w:rPr>
        <w:t>(</w:t>
      </w:r>
      <w:r w:rsidR="0002143D">
        <w:rPr>
          <w:rFonts w:ascii="Arial" w:hAnsi="Arial" w:cs="Arial"/>
          <w:color w:val="000000"/>
        </w:rPr>
        <w:t>Operational</w:t>
      </w:r>
      <w:r w:rsidR="003762ED">
        <w:rPr>
          <w:rFonts w:ascii="Arial" w:hAnsi="Arial" w:cs="Arial"/>
          <w:color w:val="000000"/>
        </w:rPr>
        <w:t xml:space="preserve"> </w:t>
      </w:r>
      <w:r w:rsidR="00CD15BE">
        <w:rPr>
          <w:rFonts w:ascii="Arial" w:hAnsi="Arial" w:cs="Arial"/>
          <w:color w:val="000000"/>
        </w:rPr>
        <w:t>and Control Staff</w:t>
      </w:r>
      <w:r w:rsidR="003762ED">
        <w:rPr>
          <w:rFonts w:ascii="Arial" w:hAnsi="Arial" w:cs="Arial"/>
          <w:color w:val="000000"/>
        </w:rPr>
        <w:t xml:space="preserve">) </w:t>
      </w:r>
      <w:r w:rsidR="00D91983">
        <w:rPr>
          <w:rFonts w:ascii="Arial" w:hAnsi="Arial" w:cs="Arial"/>
          <w:color w:val="000000"/>
        </w:rPr>
        <w:t>t</w:t>
      </w:r>
      <w:r w:rsidRPr="00670761">
        <w:rPr>
          <w:rFonts w:ascii="Arial" w:hAnsi="Arial" w:cs="Arial"/>
          <w:color w:val="000000"/>
        </w:rPr>
        <w:t>erms and</w:t>
      </w:r>
      <w:r w:rsidR="00D91983">
        <w:rPr>
          <w:rFonts w:ascii="Arial" w:hAnsi="Arial" w:cs="Arial"/>
          <w:color w:val="000000"/>
        </w:rPr>
        <w:t xml:space="preserve"> </w:t>
      </w:r>
      <w:r w:rsidRPr="00670761">
        <w:rPr>
          <w:rFonts w:ascii="Arial" w:hAnsi="Arial" w:cs="Arial"/>
          <w:color w:val="000000"/>
        </w:rPr>
        <w:t>conditions</w:t>
      </w:r>
      <w:r w:rsidR="00D91983">
        <w:rPr>
          <w:rFonts w:ascii="Arial" w:hAnsi="Arial" w:cs="Arial"/>
          <w:color w:val="000000"/>
        </w:rPr>
        <w:t>.</w:t>
      </w:r>
    </w:p>
    <w:p w:rsidR="004A6B6D" w:rsidRPr="00DA58A8" w:rsidRDefault="00784151" w:rsidP="00DA58A8">
      <w:pPr>
        <w:rPr>
          <w:rFonts w:ascii="Arial" w:hAnsi="Arial" w:cs="Arial"/>
        </w:rPr>
      </w:pPr>
      <w:r>
        <w:rPr>
          <w:rFonts w:ascii="Arial" w:hAnsi="Arial" w:cs="Arial"/>
        </w:rPr>
        <w:t>As of</w:t>
      </w:r>
      <w:r w:rsidR="003762ED">
        <w:rPr>
          <w:rFonts w:ascii="Arial" w:hAnsi="Arial" w:cs="Arial"/>
        </w:rPr>
        <w:t xml:space="preserve"> </w:t>
      </w:r>
      <w:r w:rsidR="00DA58A8" w:rsidRPr="00DA58A8">
        <w:rPr>
          <w:rFonts w:ascii="Arial" w:hAnsi="Arial" w:cs="Arial"/>
        </w:rPr>
        <w:t xml:space="preserve">31 March </w:t>
      </w:r>
      <w:r>
        <w:rPr>
          <w:rFonts w:ascii="Arial" w:hAnsi="Arial" w:cs="Arial"/>
        </w:rPr>
        <w:t xml:space="preserve">2018 </w:t>
      </w:r>
      <w:r w:rsidR="00DA58A8" w:rsidRPr="00DA58A8">
        <w:rPr>
          <w:rFonts w:ascii="Arial" w:hAnsi="Arial" w:cs="Arial"/>
        </w:rPr>
        <w:t xml:space="preserve">the total headcount contained within the </w:t>
      </w:r>
      <w:r w:rsidR="005E70BD">
        <w:rPr>
          <w:rFonts w:ascii="Arial" w:hAnsi="Arial" w:cs="Arial"/>
        </w:rPr>
        <w:t>workforce definition</w:t>
      </w:r>
      <w:r w:rsidR="00DA58A8" w:rsidRPr="00DA58A8">
        <w:rPr>
          <w:rFonts w:ascii="Arial" w:hAnsi="Arial" w:cs="Arial"/>
        </w:rPr>
        <w:t xml:space="preserve"> as </w:t>
      </w:r>
      <w:r w:rsidR="00DA58A8" w:rsidRPr="00004DC8">
        <w:rPr>
          <w:rFonts w:ascii="Arial" w:hAnsi="Arial" w:cs="Arial"/>
        </w:rPr>
        <w:t>above was</w:t>
      </w:r>
      <w:r w:rsidR="00CD15BE">
        <w:rPr>
          <w:rFonts w:ascii="Arial" w:hAnsi="Arial" w:cs="Arial"/>
        </w:rPr>
        <w:t xml:space="preserve"> 759</w:t>
      </w:r>
      <w:r w:rsidR="00DA58A8" w:rsidRPr="00004DC8">
        <w:rPr>
          <w:rFonts w:ascii="Arial" w:hAnsi="Arial" w:cs="Arial"/>
        </w:rPr>
        <w:t>, of</w:t>
      </w:r>
      <w:r w:rsidR="00D91983" w:rsidRPr="00004DC8">
        <w:rPr>
          <w:rFonts w:ascii="Arial" w:hAnsi="Arial" w:cs="Arial"/>
        </w:rPr>
        <w:t xml:space="preserve"> </w:t>
      </w:r>
      <w:r w:rsidR="00DB6EC6" w:rsidRPr="00004DC8">
        <w:rPr>
          <w:rFonts w:ascii="Arial" w:hAnsi="Arial" w:cs="Arial"/>
        </w:rPr>
        <w:t>which 12%</w:t>
      </w:r>
      <w:r w:rsidR="00DA58A8" w:rsidRPr="00004DC8">
        <w:rPr>
          <w:rFonts w:ascii="Arial" w:hAnsi="Arial" w:cs="Arial"/>
        </w:rPr>
        <w:t xml:space="preserve"> were women</w:t>
      </w:r>
      <w:r w:rsidR="005E70BD">
        <w:rPr>
          <w:rFonts w:ascii="Arial" w:hAnsi="Arial" w:cs="Arial"/>
        </w:rPr>
        <w:t>.</w:t>
      </w:r>
    </w:p>
    <w:p w:rsidR="00DA58A8" w:rsidRPr="00DA58A8" w:rsidRDefault="00DA58A8" w:rsidP="0081414E">
      <w:pPr>
        <w:rPr>
          <w:rFonts w:ascii="Arial" w:eastAsia="Times New Roman" w:hAnsi="Arial" w:cs="Arial"/>
          <w:color w:val="000000"/>
          <w:lang w:eastAsia="en-GB"/>
        </w:rPr>
      </w:pPr>
      <w:r w:rsidRPr="00DA58A8">
        <w:rPr>
          <w:rFonts w:ascii="Arial" w:hAnsi="Arial" w:cs="Arial"/>
        </w:rPr>
        <w:t>The</w:t>
      </w:r>
      <w:r w:rsidRPr="00DA58A8">
        <w:rPr>
          <w:rFonts w:ascii="Arial" w:eastAsia="Times New Roman" w:hAnsi="Arial" w:cs="Arial"/>
          <w:color w:val="000000"/>
          <w:lang w:eastAsia="en-GB"/>
        </w:rPr>
        <w:t xml:space="preserve"> below table shows a comparison </w:t>
      </w:r>
      <w:r w:rsidR="00004DC8">
        <w:rPr>
          <w:rFonts w:ascii="Arial" w:eastAsia="Times New Roman" w:hAnsi="Arial" w:cs="Arial"/>
          <w:color w:val="000000"/>
          <w:lang w:eastAsia="en-GB"/>
        </w:rPr>
        <w:t xml:space="preserve">of headcount </w:t>
      </w:r>
      <w:r w:rsidRPr="00DA58A8">
        <w:rPr>
          <w:rFonts w:ascii="Arial" w:eastAsia="Times New Roman" w:hAnsi="Arial" w:cs="Arial"/>
          <w:color w:val="000000"/>
          <w:lang w:eastAsia="en-GB"/>
        </w:rPr>
        <w:t xml:space="preserve">across 2017-18 and 2018-19.   </w:t>
      </w:r>
    </w:p>
    <w:tbl>
      <w:tblPr>
        <w:tblW w:w="7113" w:type="dxa"/>
        <w:tblInd w:w="103" w:type="dxa"/>
        <w:tblLook w:val="04A0" w:firstRow="1" w:lastRow="0" w:firstColumn="1" w:lastColumn="0" w:noHBand="0" w:noVBand="1"/>
      </w:tblPr>
      <w:tblGrid>
        <w:gridCol w:w="2927"/>
        <w:gridCol w:w="2093"/>
        <w:gridCol w:w="2093"/>
      </w:tblGrid>
      <w:tr w:rsidR="004A6B6D" w:rsidRPr="00031061" w:rsidTr="004A6B6D">
        <w:trPr>
          <w:trHeight w:val="285"/>
        </w:trPr>
        <w:tc>
          <w:tcPr>
            <w:tcW w:w="5020"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4A6B6D" w:rsidRPr="000D5AB7" w:rsidRDefault="004A6B6D" w:rsidP="0081414E">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North Yorkshire Fire and Rescue Staff</w:t>
            </w:r>
          </w:p>
        </w:tc>
        <w:tc>
          <w:tcPr>
            <w:tcW w:w="2093" w:type="dxa"/>
            <w:tcBorders>
              <w:top w:val="single" w:sz="4" w:space="0" w:color="auto"/>
              <w:left w:val="single" w:sz="4" w:space="0" w:color="auto"/>
              <w:bottom w:val="single" w:sz="4" w:space="0" w:color="auto"/>
              <w:right w:val="single" w:sz="4" w:space="0" w:color="auto"/>
            </w:tcBorders>
            <w:shd w:val="clear" w:color="auto" w:fill="00B0F0"/>
          </w:tcPr>
          <w:p w:rsidR="004A6B6D" w:rsidRPr="000D5AB7" w:rsidRDefault="004A6B6D" w:rsidP="0081414E">
            <w:pPr>
              <w:spacing w:after="0" w:line="240" w:lineRule="auto"/>
              <w:rPr>
                <w:rFonts w:ascii="Arial" w:eastAsia="Times New Roman" w:hAnsi="Arial" w:cs="Arial"/>
                <w:b/>
                <w:color w:val="000000"/>
                <w:lang w:eastAsia="en-GB"/>
              </w:rPr>
            </w:pPr>
          </w:p>
        </w:tc>
      </w:tr>
      <w:tr w:rsidR="004A6B6D" w:rsidRPr="00031061" w:rsidTr="004A6B6D">
        <w:trPr>
          <w:trHeight w:val="285"/>
        </w:trPr>
        <w:tc>
          <w:tcPr>
            <w:tcW w:w="2927" w:type="dxa"/>
            <w:tcBorders>
              <w:top w:val="nil"/>
              <w:left w:val="single" w:sz="4" w:space="0" w:color="auto"/>
              <w:bottom w:val="single" w:sz="4" w:space="0" w:color="auto"/>
              <w:right w:val="single" w:sz="4" w:space="0" w:color="auto"/>
            </w:tcBorders>
            <w:shd w:val="clear" w:color="auto" w:fill="auto"/>
            <w:noWrap/>
            <w:vAlign w:val="bottom"/>
          </w:tcPr>
          <w:p w:rsidR="004A6B6D" w:rsidRPr="000D5AB7" w:rsidRDefault="004A6B6D" w:rsidP="0081414E">
            <w:pPr>
              <w:spacing w:after="0" w:line="240" w:lineRule="auto"/>
              <w:rPr>
                <w:rFonts w:ascii="Arial" w:eastAsia="Times New Roman" w:hAnsi="Arial" w:cs="Arial"/>
                <w:b/>
                <w:color w:val="000000"/>
                <w:lang w:eastAsia="en-GB"/>
              </w:rPr>
            </w:pPr>
          </w:p>
        </w:tc>
        <w:tc>
          <w:tcPr>
            <w:tcW w:w="2093" w:type="dxa"/>
            <w:tcBorders>
              <w:top w:val="nil"/>
              <w:left w:val="nil"/>
              <w:bottom w:val="single" w:sz="4" w:space="0" w:color="auto"/>
              <w:right w:val="single" w:sz="4" w:space="0" w:color="auto"/>
            </w:tcBorders>
            <w:shd w:val="clear" w:color="auto" w:fill="auto"/>
            <w:noWrap/>
            <w:vAlign w:val="bottom"/>
          </w:tcPr>
          <w:p w:rsidR="004A6B6D" w:rsidRPr="000D5AB7" w:rsidRDefault="004A6B6D" w:rsidP="0081414E">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2017-18</w:t>
            </w:r>
          </w:p>
        </w:tc>
        <w:tc>
          <w:tcPr>
            <w:tcW w:w="2093" w:type="dxa"/>
            <w:tcBorders>
              <w:top w:val="nil"/>
              <w:left w:val="nil"/>
              <w:bottom w:val="single" w:sz="4" w:space="0" w:color="auto"/>
              <w:right w:val="single" w:sz="4" w:space="0" w:color="auto"/>
            </w:tcBorders>
          </w:tcPr>
          <w:p w:rsidR="004A6B6D" w:rsidRPr="000D5AB7" w:rsidRDefault="004A6B6D" w:rsidP="0081414E">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2018-19</w:t>
            </w:r>
          </w:p>
        </w:tc>
      </w:tr>
      <w:tr w:rsidR="004A6B6D" w:rsidRPr="00031061" w:rsidTr="004A6B6D">
        <w:trPr>
          <w:trHeight w:val="285"/>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rsidR="004A6B6D" w:rsidRPr="000D5AB7" w:rsidRDefault="004A6B6D" w:rsidP="0081414E">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Gender</w:t>
            </w:r>
          </w:p>
        </w:tc>
        <w:tc>
          <w:tcPr>
            <w:tcW w:w="2093" w:type="dxa"/>
            <w:tcBorders>
              <w:top w:val="nil"/>
              <w:left w:val="nil"/>
              <w:bottom w:val="single" w:sz="4" w:space="0" w:color="auto"/>
              <w:right w:val="single" w:sz="4" w:space="0" w:color="auto"/>
            </w:tcBorders>
            <w:shd w:val="clear" w:color="auto" w:fill="auto"/>
            <w:noWrap/>
            <w:vAlign w:val="bottom"/>
            <w:hideMark/>
          </w:tcPr>
          <w:p w:rsidR="004A6B6D" w:rsidRPr="000D5AB7" w:rsidRDefault="004A6B6D" w:rsidP="0081414E">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Employees</w:t>
            </w:r>
          </w:p>
        </w:tc>
        <w:tc>
          <w:tcPr>
            <w:tcW w:w="2093" w:type="dxa"/>
            <w:tcBorders>
              <w:top w:val="nil"/>
              <w:left w:val="nil"/>
              <w:bottom w:val="single" w:sz="4" w:space="0" w:color="auto"/>
              <w:right w:val="single" w:sz="4" w:space="0" w:color="auto"/>
            </w:tcBorders>
          </w:tcPr>
          <w:p w:rsidR="004A6B6D" w:rsidRPr="000D5AB7" w:rsidRDefault="0051324D" w:rsidP="0081414E">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*Employees</w:t>
            </w:r>
          </w:p>
        </w:tc>
      </w:tr>
      <w:tr w:rsidR="004A6B6D" w:rsidRPr="00031061" w:rsidTr="00676A4D">
        <w:trPr>
          <w:trHeight w:val="285"/>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rsidR="004A6B6D" w:rsidRPr="000D5AB7" w:rsidRDefault="004A6B6D" w:rsidP="0081414E">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Female</w:t>
            </w:r>
          </w:p>
        </w:tc>
        <w:tc>
          <w:tcPr>
            <w:tcW w:w="2093" w:type="dxa"/>
            <w:tcBorders>
              <w:top w:val="nil"/>
              <w:left w:val="nil"/>
              <w:bottom w:val="single" w:sz="4" w:space="0" w:color="auto"/>
              <w:right w:val="single" w:sz="4" w:space="0" w:color="auto"/>
            </w:tcBorders>
            <w:shd w:val="clear" w:color="auto" w:fill="auto"/>
            <w:noWrap/>
            <w:vAlign w:val="center"/>
            <w:hideMark/>
          </w:tcPr>
          <w:p w:rsidR="004A6B6D" w:rsidRPr="00031061" w:rsidRDefault="004A6B6D" w:rsidP="00676A4D">
            <w:pPr>
              <w:spacing w:after="0" w:line="240" w:lineRule="auto"/>
              <w:jc w:val="center"/>
              <w:rPr>
                <w:rFonts w:ascii="Arial" w:eastAsia="Times New Roman" w:hAnsi="Arial" w:cs="Arial"/>
                <w:color w:val="000000"/>
                <w:lang w:eastAsia="en-GB"/>
              </w:rPr>
            </w:pPr>
            <w:r w:rsidRPr="00031061">
              <w:rPr>
                <w:rFonts w:ascii="Arial" w:eastAsia="Times New Roman" w:hAnsi="Arial" w:cs="Arial"/>
                <w:color w:val="000000"/>
                <w:lang w:eastAsia="en-GB"/>
              </w:rPr>
              <w:t>94</w:t>
            </w:r>
          </w:p>
        </w:tc>
        <w:tc>
          <w:tcPr>
            <w:tcW w:w="2093" w:type="dxa"/>
            <w:tcBorders>
              <w:top w:val="nil"/>
              <w:left w:val="nil"/>
              <w:bottom w:val="single" w:sz="4" w:space="0" w:color="auto"/>
              <w:right w:val="single" w:sz="4" w:space="0" w:color="auto"/>
            </w:tcBorders>
            <w:vAlign w:val="center"/>
          </w:tcPr>
          <w:p w:rsidR="004A6B6D" w:rsidRPr="00031061" w:rsidRDefault="002F65BC" w:rsidP="00676A4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91</w:t>
            </w:r>
          </w:p>
        </w:tc>
      </w:tr>
      <w:tr w:rsidR="004A6B6D" w:rsidRPr="00031061" w:rsidTr="00676A4D">
        <w:trPr>
          <w:trHeight w:val="285"/>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rsidR="004A6B6D" w:rsidRPr="000D5AB7" w:rsidRDefault="004A6B6D" w:rsidP="0081414E">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Male</w:t>
            </w:r>
          </w:p>
        </w:tc>
        <w:tc>
          <w:tcPr>
            <w:tcW w:w="2093" w:type="dxa"/>
            <w:tcBorders>
              <w:top w:val="nil"/>
              <w:left w:val="nil"/>
              <w:bottom w:val="single" w:sz="4" w:space="0" w:color="auto"/>
              <w:right w:val="single" w:sz="4" w:space="0" w:color="auto"/>
            </w:tcBorders>
            <w:shd w:val="clear" w:color="auto" w:fill="auto"/>
            <w:noWrap/>
            <w:vAlign w:val="center"/>
            <w:hideMark/>
          </w:tcPr>
          <w:p w:rsidR="004A6B6D" w:rsidRPr="00031061" w:rsidRDefault="004A6B6D" w:rsidP="00676A4D">
            <w:pPr>
              <w:spacing w:after="0" w:line="240" w:lineRule="auto"/>
              <w:jc w:val="center"/>
              <w:rPr>
                <w:rFonts w:ascii="Arial" w:eastAsia="Times New Roman" w:hAnsi="Arial" w:cs="Arial"/>
                <w:color w:val="000000"/>
                <w:lang w:eastAsia="en-GB"/>
              </w:rPr>
            </w:pPr>
            <w:r w:rsidRPr="00031061">
              <w:rPr>
                <w:rFonts w:ascii="Arial" w:eastAsia="Times New Roman" w:hAnsi="Arial" w:cs="Arial"/>
                <w:color w:val="000000"/>
                <w:lang w:eastAsia="en-GB"/>
              </w:rPr>
              <w:t>691</w:t>
            </w:r>
          </w:p>
        </w:tc>
        <w:tc>
          <w:tcPr>
            <w:tcW w:w="2093" w:type="dxa"/>
            <w:tcBorders>
              <w:top w:val="nil"/>
              <w:left w:val="nil"/>
              <w:bottom w:val="single" w:sz="4" w:space="0" w:color="auto"/>
              <w:right w:val="single" w:sz="4" w:space="0" w:color="auto"/>
            </w:tcBorders>
            <w:vAlign w:val="center"/>
          </w:tcPr>
          <w:p w:rsidR="004A6B6D" w:rsidRPr="00031061" w:rsidRDefault="002F65BC" w:rsidP="00676A4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668</w:t>
            </w:r>
          </w:p>
        </w:tc>
      </w:tr>
      <w:tr w:rsidR="004A6B6D" w:rsidRPr="00031061" w:rsidTr="00676A4D">
        <w:trPr>
          <w:trHeight w:val="285"/>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rsidR="004A6B6D" w:rsidRPr="000D5AB7" w:rsidRDefault="004A6B6D" w:rsidP="0081414E">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Total</w:t>
            </w:r>
          </w:p>
        </w:tc>
        <w:tc>
          <w:tcPr>
            <w:tcW w:w="2093" w:type="dxa"/>
            <w:tcBorders>
              <w:top w:val="nil"/>
              <w:left w:val="nil"/>
              <w:bottom w:val="single" w:sz="4" w:space="0" w:color="auto"/>
              <w:right w:val="single" w:sz="4" w:space="0" w:color="auto"/>
            </w:tcBorders>
            <w:shd w:val="clear" w:color="auto" w:fill="auto"/>
            <w:noWrap/>
            <w:vAlign w:val="center"/>
            <w:hideMark/>
          </w:tcPr>
          <w:p w:rsidR="004A6B6D" w:rsidRPr="00031061" w:rsidRDefault="004A6B6D" w:rsidP="00676A4D">
            <w:pPr>
              <w:spacing w:after="0" w:line="240" w:lineRule="auto"/>
              <w:jc w:val="center"/>
              <w:rPr>
                <w:rFonts w:ascii="Arial" w:eastAsia="Times New Roman" w:hAnsi="Arial" w:cs="Arial"/>
                <w:color w:val="000000"/>
                <w:lang w:eastAsia="en-GB"/>
              </w:rPr>
            </w:pPr>
            <w:r w:rsidRPr="00031061">
              <w:rPr>
                <w:rFonts w:ascii="Arial" w:eastAsia="Times New Roman" w:hAnsi="Arial" w:cs="Arial"/>
                <w:color w:val="000000"/>
                <w:lang w:eastAsia="en-GB"/>
              </w:rPr>
              <w:t>785</w:t>
            </w:r>
          </w:p>
        </w:tc>
        <w:tc>
          <w:tcPr>
            <w:tcW w:w="2093" w:type="dxa"/>
            <w:tcBorders>
              <w:top w:val="nil"/>
              <w:left w:val="nil"/>
              <w:bottom w:val="single" w:sz="4" w:space="0" w:color="auto"/>
              <w:right w:val="single" w:sz="4" w:space="0" w:color="auto"/>
            </w:tcBorders>
            <w:vAlign w:val="center"/>
          </w:tcPr>
          <w:p w:rsidR="004A6B6D" w:rsidRPr="00031061" w:rsidRDefault="002F65BC" w:rsidP="00676A4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759</w:t>
            </w:r>
          </w:p>
        </w:tc>
      </w:tr>
    </w:tbl>
    <w:p w:rsidR="002864E4" w:rsidRDefault="002864E4" w:rsidP="0081414E">
      <w:pPr>
        <w:rPr>
          <w:rFonts w:ascii="Arial" w:hAnsi="Arial" w:cs="Arial"/>
          <w:b/>
        </w:rPr>
      </w:pPr>
    </w:p>
    <w:p w:rsidR="005E70BD" w:rsidRDefault="002F65BC" w:rsidP="0081414E">
      <w:pPr>
        <w:rPr>
          <w:rFonts w:ascii="Arial" w:hAnsi="Arial" w:cs="Arial"/>
        </w:rPr>
      </w:pPr>
      <w:r w:rsidRPr="005E70BD">
        <w:rPr>
          <w:rFonts w:ascii="Arial" w:hAnsi="Arial" w:cs="Arial"/>
          <w:b/>
        </w:rPr>
        <w:t>*</w:t>
      </w:r>
      <w:r w:rsidR="005E70BD">
        <w:rPr>
          <w:rFonts w:ascii="Arial" w:hAnsi="Arial" w:cs="Arial"/>
          <w:b/>
        </w:rPr>
        <w:t>N</w:t>
      </w:r>
      <w:r w:rsidRPr="005E70BD">
        <w:rPr>
          <w:rFonts w:ascii="Arial" w:hAnsi="Arial" w:cs="Arial"/>
          <w:b/>
        </w:rPr>
        <w:t>ote</w:t>
      </w:r>
      <w:r w:rsidRPr="00004DC8">
        <w:rPr>
          <w:rFonts w:ascii="Arial" w:hAnsi="Arial" w:cs="Arial"/>
        </w:rPr>
        <w:t xml:space="preserve"> </w:t>
      </w:r>
    </w:p>
    <w:p w:rsidR="0051324D" w:rsidRPr="00004DC8" w:rsidRDefault="002F65BC" w:rsidP="0081414E">
      <w:pPr>
        <w:rPr>
          <w:rFonts w:ascii="Arial" w:hAnsi="Arial" w:cs="Arial"/>
        </w:rPr>
      </w:pPr>
      <w:r w:rsidRPr="00004DC8">
        <w:rPr>
          <w:rFonts w:ascii="Arial" w:hAnsi="Arial" w:cs="Arial"/>
        </w:rPr>
        <w:t xml:space="preserve">7 female and </w:t>
      </w:r>
      <w:r w:rsidR="0051324D" w:rsidRPr="00004DC8">
        <w:rPr>
          <w:rFonts w:ascii="Arial" w:hAnsi="Arial" w:cs="Arial"/>
        </w:rPr>
        <w:t>6</w:t>
      </w:r>
      <w:r w:rsidRPr="00004DC8">
        <w:rPr>
          <w:rFonts w:ascii="Arial" w:hAnsi="Arial" w:cs="Arial"/>
        </w:rPr>
        <w:t xml:space="preserve"> male members of staff have been removed </w:t>
      </w:r>
      <w:r w:rsidR="00CD15BE" w:rsidRPr="00004DC8">
        <w:rPr>
          <w:rFonts w:ascii="Arial" w:hAnsi="Arial" w:cs="Arial"/>
        </w:rPr>
        <w:t>from</w:t>
      </w:r>
      <w:r w:rsidRPr="00004DC8">
        <w:rPr>
          <w:rFonts w:ascii="Arial" w:hAnsi="Arial" w:cs="Arial"/>
        </w:rPr>
        <w:t xml:space="preserve"> the headcount</w:t>
      </w:r>
      <w:r w:rsidR="000E55E3" w:rsidRPr="00004DC8">
        <w:rPr>
          <w:rFonts w:ascii="Arial" w:hAnsi="Arial" w:cs="Arial"/>
        </w:rPr>
        <w:t xml:space="preserve"> figures</w:t>
      </w:r>
      <w:r w:rsidR="00CD15BE" w:rsidRPr="00004DC8">
        <w:rPr>
          <w:rFonts w:ascii="Arial" w:hAnsi="Arial" w:cs="Arial"/>
        </w:rPr>
        <w:t xml:space="preserve"> </w:t>
      </w:r>
      <w:r w:rsidR="0051324D" w:rsidRPr="00004DC8">
        <w:rPr>
          <w:rFonts w:ascii="Arial" w:hAnsi="Arial" w:cs="Arial"/>
        </w:rPr>
        <w:t>as a result of being paid less than their usual basic pay due to being on leave.  For the purposes of gender pay gap reporting, leave is interpreted broadly to include:</w:t>
      </w:r>
    </w:p>
    <w:p w:rsidR="0051324D" w:rsidRPr="00004DC8" w:rsidRDefault="0051324D" w:rsidP="0051324D">
      <w:pPr>
        <w:pStyle w:val="ListParagraph"/>
        <w:numPr>
          <w:ilvl w:val="0"/>
          <w:numId w:val="13"/>
        </w:numPr>
        <w:rPr>
          <w:rFonts w:ascii="Arial" w:hAnsi="Arial" w:cs="Arial"/>
        </w:rPr>
      </w:pPr>
      <w:r w:rsidRPr="00004DC8">
        <w:rPr>
          <w:rFonts w:ascii="Arial" w:hAnsi="Arial" w:cs="Arial"/>
        </w:rPr>
        <w:t>annual leave;</w:t>
      </w:r>
    </w:p>
    <w:p w:rsidR="0051324D" w:rsidRPr="00004DC8" w:rsidRDefault="0051324D" w:rsidP="0051324D">
      <w:pPr>
        <w:pStyle w:val="ListParagraph"/>
        <w:numPr>
          <w:ilvl w:val="0"/>
          <w:numId w:val="13"/>
        </w:numPr>
        <w:rPr>
          <w:rFonts w:ascii="Arial" w:hAnsi="Arial" w:cs="Arial"/>
        </w:rPr>
      </w:pPr>
      <w:r w:rsidRPr="00004DC8">
        <w:rPr>
          <w:rFonts w:ascii="Arial" w:hAnsi="Arial" w:cs="Arial"/>
        </w:rPr>
        <w:t>maternity, paternity, adoption, parental, or shared parental leave;</w:t>
      </w:r>
    </w:p>
    <w:p w:rsidR="0051324D" w:rsidRPr="00004DC8" w:rsidRDefault="0051324D" w:rsidP="0051324D">
      <w:pPr>
        <w:pStyle w:val="ListParagraph"/>
        <w:numPr>
          <w:ilvl w:val="0"/>
          <w:numId w:val="13"/>
        </w:numPr>
        <w:rPr>
          <w:rFonts w:ascii="Arial" w:hAnsi="Arial" w:cs="Arial"/>
        </w:rPr>
      </w:pPr>
      <w:r w:rsidRPr="00004DC8">
        <w:rPr>
          <w:rFonts w:ascii="Arial" w:hAnsi="Arial" w:cs="Arial"/>
        </w:rPr>
        <w:t>sick leave;</w:t>
      </w:r>
    </w:p>
    <w:p w:rsidR="0051324D" w:rsidRPr="00004DC8" w:rsidRDefault="0051324D" w:rsidP="0051324D">
      <w:pPr>
        <w:pStyle w:val="ListParagraph"/>
        <w:numPr>
          <w:ilvl w:val="0"/>
          <w:numId w:val="13"/>
        </w:numPr>
        <w:rPr>
          <w:rFonts w:ascii="Arial" w:hAnsi="Arial" w:cs="Arial"/>
        </w:rPr>
      </w:pPr>
      <w:r w:rsidRPr="00004DC8">
        <w:rPr>
          <w:rFonts w:ascii="Arial" w:hAnsi="Arial" w:cs="Arial"/>
        </w:rPr>
        <w:t>special leave;</w:t>
      </w:r>
    </w:p>
    <w:p w:rsidR="0051324D" w:rsidRPr="00004DC8" w:rsidRDefault="0051324D" w:rsidP="0051324D">
      <w:pPr>
        <w:pStyle w:val="ListParagraph"/>
        <w:numPr>
          <w:ilvl w:val="0"/>
          <w:numId w:val="13"/>
        </w:numPr>
        <w:rPr>
          <w:rFonts w:ascii="Arial" w:hAnsi="Arial" w:cs="Arial"/>
        </w:rPr>
      </w:pPr>
      <w:r w:rsidRPr="00004DC8">
        <w:rPr>
          <w:rFonts w:ascii="Arial" w:hAnsi="Arial" w:cs="Arial"/>
        </w:rPr>
        <w:t>any other form of leave (e.g. study leave or sabbaticals).</w:t>
      </w:r>
    </w:p>
    <w:p w:rsidR="0051324D" w:rsidRPr="00004DC8" w:rsidRDefault="0051324D" w:rsidP="00004DC8">
      <w:pPr>
        <w:rPr>
          <w:rFonts w:ascii="Arial" w:hAnsi="Arial" w:cs="Arial"/>
        </w:rPr>
      </w:pPr>
      <w:r w:rsidRPr="00004DC8">
        <w:rPr>
          <w:rFonts w:ascii="Arial" w:hAnsi="Arial" w:cs="Arial"/>
        </w:rPr>
        <w:t>A further 10 male employees received no pay at all during the relevant pay period and, in accordance with the regulations, are excluded from the gender pay gap calculations.  These employees are all volunteer firefighters.</w:t>
      </w:r>
    </w:p>
    <w:p w:rsidR="00DA58A8" w:rsidRDefault="00DA58A8" w:rsidP="0081414E">
      <w:pPr>
        <w:rPr>
          <w:rFonts w:ascii="Arial" w:hAnsi="Arial" w:cs="Arial"/>
          <w:b/>
        </w:rPr>
      </w:pPr>
    </w:p>
    <w:p w:rsidR="00D91983" w:rsidRDefault="00D91983" w:rsidP="0081414E">
      <w:pPr>
        <w:rPr>
          <w:rFonts w:ascii="Arial" w:hAnsi="Arial" w:cs="Arial"/>
          <w:b/>
        </w:rPr>
      </w:pPr>
    </w:p>
    <w:p w:rsidR="00004DC8" w:rsidRDefault="00004DC8" w:rsidP="0081414E">
      <w:pPr>
        <w:rPr>
          <w:rFonts w:ascii="Arial" w:hAnsi="Arial" w:cs="Arial"/>
          <w:b/>
        </w:rPr>
      </w:pPr>
    </w:p>
    <w:p w:rsidR="00031061" w:rsidRPr="004C4B8E" w:rsidRDefault="005E70BD" w:rsidP="0081414E">
      <w:pPr>
        <w:rPr>
          <w:rFonts w:ascii="Arial" w:hAnsi="Arial" w:cs="Arial"/>
          <w:b/>
          <w:u w:val="single"/>
        </w:rPr>
      </w:pPr>
      <w:r>
        <w:rPr>
          <w:rFonts w:ascii="Arial" w:hAnsi="Arial" w:cs="Arial"/>
          <w:b/>
          <w:u w:val="single"/>
        </w:rPr>
        <w:t>M</w:t>
      </w:r>
      <w:r w:rsidR="001B0E55" w:rsidRPr="004C4B8E">
        <w:rPr>
          <w:rFonts w:ascii="Arial" w:hAnsi="Arial" w:cs="Arial"/>
          <w:b/>
          <w:u w:val="single"/>
        </w:rPr>
        <w:t>ean and Median Pay G</w:t>
      </w:r>
      <w:r w:rsidR="00031061" w:rsidRPr="004C4B8E">
        <w:rPr>
          <w:rFonts w:ascii="Arial" w:hAnsi="Arial" w:cs="Arial"/>
          <w:b/>
          <w:u w:val="single"/>
        </w:rPr>
        <w:t>ap</w:t>
      </w:r>
    </w:p>
    <w:p w:rsidR="00BB3813" w:rsidRDefault="000D6612" w:rsidP="00A87614">
      <w:pPr>
        <w:spacing w:after="0" w:line="240" w:lineRule="auto"/>
        <w:jc w:val="both"/>
        <w:rPr>
          <w:rFonts w:ascii="Arial" w:hAnsi="Arial" w:cs="Arial"/>
        </w:rPr>
      </w:pPr>
      <w:r>
        <w:rPr>
          <w:rFonts w:ascii="Arial" w:hAnsi="Arial" w:cs="Arial"/>
        </w:rPr>
        <w:t>The mean</w:t>
      </w:r>
      <w:r w:rsidR="00C15EB6">
        <w:rPr>
          <w:rFonts w:ascii="Arial" w:hAnsi="Arial" w:cs="Arial"/>
        </w:rPr>
        <w:t xml:space="preserve"> </w:t>
      </w:r>
      <w:r>
        <w:rPr>
          <w:rFonts w:ascii="Arial" w:hAnsi="Arial" w:cs="Arial"/>
        </w:rPr>
        <w:t>(average pay gap is</w:t>
      </w:r>
      <w:r w:rsidR="00C15EB6">
        <w:rPr>
          <w:rFonts w:ascii="Arial" w:hAnsi="Arial" w:cs="Arial"/>
        </w:rPr>
        <w:t>)</w:t>
      </w:r>
      <w:r w:rsidR="000E55E3">
        <w:rPr>
          <w:rFonts w:ascii="Arial" w:hAnsi="Arial" w:cs="Arial"/>
        </w:rPr>
        <w:t xml:space="preserve"> 10.</w:t>
      </w:r>
      <w:r w:rsidR="007A6353">
        <w:rPr>
          <w:rFonts w:ascii="Arial" w:hAnsi="Arial" w:cs="Arial"/>
        </w:rPr>
        <w:t>22</w:t>
      </w:r>
      <w:r w:rsidR="000E55E3">
        <w:rPr>
          <w:rFonts w:ascii="Arial" w:hAnsi="Arial" w:cs="Arial"/>
        </w:rPr>
        <w:t>%</w:t>
      </w:r>
    </w:p>
    <w:p w:rsidR="004C4B8E" w:rsidRDefault="004C4B8E" w:rsidP="00A87614">
      <w:pPr>
        <w:spacing w:after="0" w:line="240" w:lineRule="auto"/>
        <w:jc w:val="both"/>
        <w:rPr>
          <w:rFonts w:ascii="Arial" w:hAnsi="Arial" w:cs="Arial"/>
        </w:rPr>
      </w:pPr>
    </w:p>
    <w:p w:rsidR="000D6612" w:rsidRDefault="00BF35FA" w:rsidP="00A87614">
      <w:pPr>
        <w:spacing w:after="0" w:line="240" w:lineRule="auto"/>
        <w:jc w:val="both"/>
        <w:rPr>
          <w:rFonts w:ascii="Arial" w:hAnsi="Arial" w:cs="Arial"/>
        </w:rPr>
      </w:pPr>
      <w:r>
        <w:rPr>
          <w:rFonts w:ascii="Arial" w:hAnsi="Arial" w:cs="Arial"/>
        </w:rPr>
        <w:t>Median is the midpoint of the data t</w:t>
      </w:r>
      <w:r w:rsidR="000D6612">
        <w:rPr>
          <w:rFonts w:ascii="Arial" w:hAnsi="Arial" w:cs="Arial"/>
        </w:rPr>
        <w:t>he median pay gap is</w:t>
      </w:r>
      <w:r w:rsidR="00EF62A7">
        <w:rPr>
          <w:rFonts w:ascii="Arial" w:hAnsi="Arial" w:cs="Arial"/>
        </w:rPr>
        <w:t xml:space="preserve"> </w:t>
      </w:r>
      <w:r w:rsidR="007A6353">
        <w:rPr>
          <w:rFonts w:ascii="Arial" w:hAnsi="Arial" w:cs="Arial"/>
        </w:rPr>
        <w:t>3.24</w:t>
      </w:r>
      <w:r w:rsidR="000E55E3">
        <w:rPr>
          <w:rFonts w:ascii="Arial" w:hAnsi="Arial" w:cs="Arial"/>
        </w:rPr>
        <w:t xml:space="preserve">% </w:t>
      </w:r>
    </w:p>
    <w:p w:rsidR="00EC2E79" w:rsidRDefault="00EC2E79" w:rsidP="00EC2E79">
      <w:pPr>
        <w:spacing w:after="0" w:line="240" w:lineRule="auto"/>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65"/>
        <w:gridCol w:w="1666"/>
        <w:gridCol w:w="1665"/>
        <w:gridCol w:w="1666"/>
      </w:tblGrid>
      <w:tr w:rsidR="00004DC8" w:rsidRPr="000D6612" w:rsidTr="007E4728">
        <w:trPr>
          <w:trHeight w:val="285"/>
        </w:trPr>
        <w:tc>
          <w:tcPr>
            <w:tcW w:w="2977" w:type="dxa"/>
            <w:shd w:val="clear" w:color="auto" w:fill="00B0F0"/>
            <w:noWrap/>
            <w:vAlign w:val="bottom"/>
            <w:hideMark/>
          </w:tcPr>
          <w:p w:rsidR="00004DC8" w:rsidRPr="000D5AB7" w:rsidRDefault="00004DC8" w:rsidP="0081414E">
            <w:pPr>
              <w:spacing w:after="0" w:line="240" w:lineRule="auto"/>
              <w:rPr>
                <w:rFonts w:ascii="Arial" w:eastAsia="Times New Roman" w:hAnsi="Arial" w:cs="Arial"/>
                <w:b/>
                <w:color w:val="000000"/>
                <w:lang w:eastAsia="en-GB"/>
              </w:rPr>
            </w:pPr>
          </w:p>
        </w:tc>
        <w:tc>
          <w:tcPr>
            <w:tcW w:w="1665" w:type="dxa"/>
            <w:shd w:val="clear" w:color="auto" w:fill="00B0F0"/>
            <w:vAlign w:val="bottom"/>
          </w:tcPr>
          <w:p w:rsidR="00004DC8" w:rsidRPr="000D5AB7" w:rsidRDefault="00004DC8" w:rsidP="00004DC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Female</w:t>
            </w:r>
          </w:p>
        </w:tc>
        <w:tc>
          <w:tcPr>
            <w:tcW w:w="1666" w:type="dxa"/>
            <w:shd w:val="clear" w:color="auto" w:fill="00B0F0"/>
            <w:vAlign w:val="bottom"/>
          </w:tcPr>
          <w:p w:rsidR="00004DC8" w:rsidRPr="000D5AB7" w:rsidRDefault="00004DC8" w:rsidP="00004DC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Male</w:t>
            </w:r>
          </w:p>
        </w:tc>
        <w:tc>
          <w:tcPr>
            <w:tcW w:w="1665" w:type="dxa"/>
            <w:shd w:val="clear" w:color="auto" w:fill="00B0F0"/>
            <w:vAlign w:val="bottom"/>
          </w:tcPr>
          <w:p w:rsidR="00004DC8" w:rsidRPr="000D5AB7" w:rsidRDefault="00004DC8" w:rsidP="00004DC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Gap</w:t>
            </w:r>
          </w:p>
        </w:tc>
        <w:tc>
          <w:tcPr>
            <w:tcW w:w="1666" w:type="dxa"/>
            <w:shd w:val="clear" w:color="auto" w:fill="00B0F0"/>
            <w:vAlign w:val="bottom"/>
          </w:tcPr>
          <w:p w:rsidR="00004DC8" w:rsidRPr="000D5AB7" w:rsidRDefault="00004DC8" w:rsidP="00004DC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w:t>
            </w:r>
          </w:p>
        </w:tc>
      </w:tr>
      <w:tr w:rsidR="00004DC8" w:rsidRPr="000D6612" w:rsidTr="007A6353">
        <w:trPr>
          <w:trHeight w:val="285"/>
        </w:trPr>
        <w:tc>
          <w:tcPr>
            <w:tcW w:w="2977" w:type="dxa"/>
            <w:shd w:val="clear" w:color="auto" w:fill="C6D9F1" w:themeFill="text2" w:themeFillTint="33"/>
            <w:noWrap/>
            <w:vAlign w:val="center"/>
            <w:hideMark/>
          </w:tcPr>
          <w:p w:rsidR="00004DC8" w:rsidRDefault="00004DC8" w:rsidP="007A6353">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Average hourly rate (mean)</w:t>
            </w:r>
          </w:p>
          <w:p w:rsidR="00004DC8" w:rsidRPr="000D5AB7" w:rsidRDefault="00004DC8" w:rsidP="007A6353">
            <w:pPr>
              <w:spacing w:after="0" w:line="240" w:lineRule="auto"/>
              <w:jc w:val="center"/>
              <w:rPr>
                <w:rFonts w:ascii="Arial" w:eastAsia="Times New Roman" w:hAnsi="Arial" w:cs="Arial"/>
                <w:b/>
                <w:color w:val="000000"/>
                <w:lang w:eastAsia="en-GB"/>
              </w:rPr>
            </w:pPr>
          </w:p>
        </w:tc>
        <w:tc>
          <w:tcPr>
            <w:tcW w:w="1665" w:type="dxa"/>
            <w:shd w:val="clear" w:color="auto" w:fill="C6D9F1" w:themeFill="text2" w:themeFillTint="33"/>
            <w:noWrap/>
            <w:vAlign w:val="center"/>
            <w:hideMark/>
          </w:tcPr>
          <w:p w:rsidR="00004DC8" w:rsidRPr="000D6612" w:rsidRDefault="00004DC8" w:rsidP="007A635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13.35</w:t>
            </w:r>
          </w:p>
        </w:tc>
        <w:tc>
          <w:tcPr>
            <w:tcW w:w="1666" w:type="dxa"/>
            <w:shd w:val="clear" w:color="auto" w:fill="C6D9F1" w:themeFill="text2" w:themeFillTint="33"/>
            <w:vAlign w:val="center"/>
          </w:tcPr>
          <w:p w:rsidR="00004DC8" w:rsidRPr="000D6612" w:rsidRDefault="00004DC8" w:rsidP="007A635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14.87</w:t>
            </w:r>
          </w:p>
        </w:tc>
        <w:tc>
          <w:tcPr>
            <w:tcW w:w="1665" w:type="dxa"/>
            <w:shd w:val="clear" w:color="auto" w:fill="C6D9F1" w:themeFill="text2" w:themeFillTint="33"/>
            <w:vAlign w:val="center"/>
          </w:tcPr>
          <w:p w:rsidR="00004DC8" w:rsidRPr="000D6612" w:rsidRDefault="00004DC8" w:rsidP="007A635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-£1.52</w:t>
            </w:r>
          </w:p>
        </w:tc>
        <w:tc>
          <w:tcPr>
            <w:tcW w:w="1666" w:type="dxa"/>
            <w:shd w:val="clear" w:color="auto" w:fill="C6D9F1" w:themeFill="text2" w:themeFillTint="33"/>
            <w:vAlign w:val="center"/>
          </w:tcPr>
          <w:p w:rsidR="00004DC8" w:rsidRPr="000D6612" w:rsidRDefault="007A6353" w:rsidP="007A635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10.22%</w:t>
            </w:r>
          </w:p>
        </w:tc>
      </w:tr>
      <w:tr w:rsidR="00004DC8" w:rsidRPr="000D6612" w:rsidTr="007A6353">
        <w:trPr>
          <w:trHeight w:val="285"/>
        </w:trPr>
        <w:tc>
          <w:tcPr>
            <w:tcW w:w="2977" w:type="dxa"/>
            <w:shd w:val="clear" w:color="auto" w:fill="8DB3E2" w:themeFill="text2" w:themeFillTint="66"/>
            <w:noWrap/>
            <w:vAlign w:val="center"/>
            <w:hideMark/>
          </w:tcPr>
          <w:p w:rsidR="00004DC8" w:rsidRDefault="00004DC8" w:rsidP="007A6353">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Median</w:t>
            </w:r>
            <w:r w:rsidR="005E70BD">
              <w:rPr>
                <w:rFonts w:ascii="Arial" w:eastAsia="Times New Roman" w:hAnsi="Arial" w:cs="Arial"/>
                <w:b/>
                <w:color w:val="000000"/>
                <w:lang w:eastAsia="en-GB"/>
              </w:rPr>
              <w:t xml:space="preserve"> hourly rate</w:t>
            </w:r>
          </w:p>
          <w:p w:rsidR="00004DC8" w:rsidRPr="000D5AB7" w:rsidRDefault="00004DC8" w:rsidP="007A6353">
            <w:pPr>
              <w:spacing w:after="0" w:line="240" w:lineRule="auto"/>
              <w:jc w:val="center"/>
              <w:rPr>
                <w:rFonts w:ascii="Arial" w:eastAsia="Times New Roman" w:hAnsi="Arial" w:cs="Arial"/>
                <w:b/>
                <w:color w:val="000000"/>
                <w:lang w:eastAsia="en-GB"/>
              </w:rPr>
            </w:pPr>
          </w:p>
        </w:tc>
        <w:tc>
          <w:tcPr>
            <w:tcW w:w="1665" w:type="dxa"/>
            <w:shd w:val="clear" w:color="auto" w:fill="8DB3E2" w:themeFill="text2" w:themeFillTint="66"/>
            <w:noWrap/>
            <w:vAlign w:val="center"/>
            <w:hideMark/>
          </w:tcPr>
          <w:p w:rsidR="00004DC8" w:rsidRPr="000D6612" w:rsidRDefault="007A6353" w:rsidP="007A635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13.46</w:t>
            </w:r>
          </w:p>
        </w:tc>
        <w:tc>
          <w:tcPr>
            <w:tcW w:w="1666" w:type="dxa"/>
            <w:shd w:val="clear" w:color="auto" w:fill="8DB3E2" w:themeFill="text2" w:themeFillTint="66"/>
            <w:vAlign w:val="center"/>
          </w:tcPr>
          <w:p w:rsidR="00004DC8" w:rsidRPr="000D6612" w:rsidRDefault="007A6353" w:rsidP="007A635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13.91</w:t>
            </w:r>
          </w:p>
        </w:tc>
        <w:tc>
          <w:tcPr>
            <w:tcW w:w="1665" w:type="dxa"/>
            <w:shd w:val="clear" w:color="auto" w:fill="8DB3E2" w:themeFill="text2" w:themeFillTint="66"/>
            <w:vAlign w:val="center"/>
          </w:tcPr>
          <w:p w:rsidR="00004DC8" w:rsidRPr="000D6612" w:rsidRDefault="007A6353" w:rsidP="007A635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-£0.45</w:t>
            </w:r>
          </w:p>
        </w:tc>
        <w:tc>
          <w:tcPr>
            <w:tcW w:w="1666" w:type="dxa"/>
            <w:shd w:val="clear" w:color="auto" w:fill="8DB3E2" w:themeFill="text2" w:themeFillTint="66"/>
            <w:vAlign w:val="center"/>
          </w:tcPr>
          <w:p w:rsidR="00004DC8" w:rsidRPr="000D6612" w:rsidRDefault="007A6353" w:rsidP="007A635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3.24%</w:t>
            </w:r>
          </w:p>
        </w:tc>
      </w:tr>
    </w:tbl>
    <w:p w:rsidR="00EC2E79" w:rsidRDefault="00EC2E79" w:rsidP="00EC2E79">
      <w:pPr>
        <w:spacing w:after="0" w:line="240" w:lineRule="auto"/>
        <w:jc w:val="both"/>
        <w:rPr>
          <w:rFonts w:ascii="Arial" w:hAnsi="Arial" w:cs="Arial"/>
        </w:rPr>
      </w:pPr>
    </w:p>
    <w:p w:rsidR="002B7FFE" w:rsidRDefault="00BF35FA" w:rsidP="00EC2E79">
      <w:pPr>
        <w:spacing w:after="0" w:line="240" w:lineRule="auto"/>
        <w:jc w:val="both"/>
        <w:rPr>
          <w:rFonts w:ascii="Arial" w:hAnsi="Arial" w:cs="Arial"/>
        </w:rPr>
      </w:pPr>
      <w:r>
        <w:rPr>
          <w:rFonts w:ascii="Arial" w:hAnsi="Arial" w:cs="Arial"/>
        </w:rPr>
        <w:t xml:space="preserve">The </w:t>
      </w:r>
      <w:r w:rsidR="005E70BD">
        <w:rPr>
          <w:rFonts w:ascii="Arial" w:hAnsi="Arial" w:cs="Arial"/>
        </w:rPr>
        <w:t xml:space="preserve">2017 </w:t>
      </w:r>
      <w:r>
        <w:rPr>
          <w:rFonts w:ascii="Arial" w:hAnsi="Arial" w:cs="Arial"/>
        </w:rPr>
        <w:t>UK national median pay gap was 18.4%</w:t>
      </w:r>
      <w:r w:rsidR="005E70BD">
        <w:rPr>
          <w:rFonts w:ascii="Arial" w:hAnsi="Arial" w:cs="Arial"/>
        </w:rPr>
        <w:t xml:space="preserve"> (as published in Spring 2018)</w:t>
      </w:r>
      <w:r>
        <w:rPr>
          <w:rFonts w:ascii="Arial" w:hAnsi="Arial" w:cs="Arial"/>
        </w:rPr>
        <w:t xml:space="preserve">. The median pay gap </w:t>
      </w:r>
      <w:r w:rsidR="00102B00">
        <w:rPr>
          <w:rFonts w:ascii="Arial" w:hAnsi="Arial" w:cs="Arial"/>
        </w:rPr>
        <w:t>between men and women</w:t>
      </w:r>
      <w:r w:rsidR="00DB746F">
        <w:rPr>
          <w:rFonts w:ascii="Arial" w:hAnsi="Arial" w:cs="Arial"/>
        </w:rPr>
        <w:t xml:space="preserve"> </w:t>
      </w:r>
      <w:r w:rsidR="004C4B8E">
        <w:rPr>
          <w:rFonts w:ascii="Arial" w:hAnsi="Arial" w:cs="Arial"/>
        </w:rPr>
        <w:t>within North Yorkshire Fire and Rescue Service</w:t>
      </w:r>
      <w:r w:rsidR="002B7FFE">
        <w:rPr>
          <w:rFonts w:ascii="Arial" w:hAnsi="Arial" w:cs="Arial"/>
        </w:rPr>
        <w:t xml:space="preserve"> (NYFRS)</w:t>
      </w:r>
      <w:r w:rsidR="00680CF8">
        <w:rPr>
          <w:rFonts w:ascii="Arial" w:hAnsi="Arial" w:cs="Arial"/>
        </w:rPr>
        <w:t xml:space="preserve"> in 2018 </w:t>
      </w:r>
      <w:r>
        <w:rPr>
          <w:rFonts w:ascii="Arial" w:hAnsi="Arial" w:cs="Arial"/>
        </w:rPr>
        <w:t xml:space="preserve">is </w:t>
      </w:r>
      <w:r w:rsidR="007A6353">
        <w:rPr>
          <w:rFonts w:ascii="Arial" w:hAnsi="Arial" w:cs="Arial"/>
        </w:rPr>
        <w:t>3.24</w:t>
      </w:r>
      <w:r>
        <w:rPr>
          <w:rFonts w:ascii="Arial" w:hAnsi="Arial" w:cs="Arial"/>
        </w:rPr>
        <w:t>%</w:t>
      </w:r>
      <w:r w:rsidR="0081414E">
        <w:rPr>
          <w:rFonts w:ascii="Arial" w:hAnsi="Arial" w:cs="Arial"/>
        </w:rPr>
        <w:t xml:space="preserve">, which </w:t>
      </w:r>
      <w:r>
        <w:rPr>
          <w:rFonts w:ascii="Arial" w:hAnsi="Arial" w:cs="Arial"/>
        </w:rPr>
        <w:t xml:space="preserve">is </w:t>
      </w:r>
      <w:r w:rsidR="007A6353">
        <w:rPr>
          <w:rFonts w:ascii="Arial" w:hAnsi="Arial" w:cs="Arial"/>
        </w:rPr>
        <w:t xml:space="preserve">considerably </w:t>
      </w:r>
      <w:r w:rsidR="00DB746F">
        <w:rPr>
          <w:rFonts w:ascii="Arial" w:hAnsi="Arial" w:cs="Arial"/>
        </w:rPr>
        <w:t>lower than th</w:t>
      </w:r>
      <w:r w:rsidR="00F62166">
        <w:rPr>
          <w:rFonts w:ascii="Arial" w:hAnsi="Arial" w:cs="Arial"/>
        </w:rPr>
        <w:t xml:space="preserve">e </w:t>
      </w:r>
      <w:r w:rsidR="00680CF8">
        <w:rPr>
          <w:rFonts w:ascii="Arial" w:hAnsi="Arial" w:cs="Arial"/>
        </w:rPr>
        <w:t xml:space="preserve">UK average of the previous year. </w:t>
      </w:r>
    </w:p>
    <w:p w:rsidR="007A6353" w:rsidRDefault="007A6353" w:rsidP="00EC2E79">
      <w:pPr>
        <w:spacing w:after="0" w:line="240" w:lineRule="auto"/>
        <w:jc w:val="both"/>
        <w:rPr>
          <w:rFonts w:ascii="Arial" w:hAnsi="Arial" w:cs="Arial"/>
        </w:rPr>
      </w:pPr>
    </w:p>
    <w:p w:rsidR="00EC2E79" w:rsidRPr="00D91983" w:rsidRDefault="00D91983" w:rsidP="00EC2E79">
      <w:pPr>
        <w:spacing w:after="0" w:line="240" w:lineRule="auto"/>
        <w:jc w:val="both"/>
        <w:rPr>
          <w:rFonts w:ascii="Arial" w:hAnsi="Arial" w:cs="Arial"/>
          <w:b/>
          <w:u w:val="single"/>
        </w:rPr>
      </w:pPr>
      <w:r w:rsidRPr="00D91983">
        <w:rPr>
          <w:rFonts w:ascii="Arial" w:hAnsi="Arial" w:cs="Arial"/>
          <w:b/>
          <w:u w:val="single"/>
        </w:rPr>
        <w:t>Corporate Management Board</w:t>
      </w:r>
      <w:r w:rsidR="00680CF8">
        <w:rPr>
          <w:rFonts w:ascii="Arial" w:hAnsi="Arial" w:cs="Arial"/>
          <w:b/>
          <w:u w:val="single"/>
        </w:rPr>
        <w:t xml:space="preserve"> (CMB)</w:t>
      </w:r>
    </w:p>
    <w:p w:rsidR="00457654" w:rsidRDefault="0081414E" w:rsidP="00EC2E79">
      <w:pPr>
        <w:spacing w:after="0" w:line="240" w:lineRule="auto"/>
        <w:jc w:val="both"/>
        <w:rPr>
          <w:rFonts w:ascii="Arial" w:hAnsi="Arial" w:cs="Arial"/>
        </w:rPr>
      </w:pPr>
      <w:r>
        <w:rPr>
          <w:rFonts w:ascii="Arial" w:hAnsi="Arial" w:cs="Arial"/>
        </w:rPr>
        <w:t xml:space="preserve"> </w:t>
      </w:r>
    </w:p>
    <w:p w:rsidR="00680CF8" w:rsidRDefault="00680CF8" w:rsidP="00EC2E79">
      <w:pPr>
        <w:spacing w:after="0" w:line="240" w:lineRule="auto"/>
        <w:jc w:val="both"/>
        <w:rPr>
          <w:rFonts w:ascii="Arial" w:hAnsi="Arial" w:cs="Arial"/>
        </w:rPr>
      </w:pPr>
      <w:r>
        <w:rPr>
          <w:rFonts w:ascii="Arial" w:hAnsi="Arial" w:cs="Arial"/>
        </w:rPr>
        <w:t xml:space="preserve">CMB is made up of seven members of staff. Six of which are male and one female. </w:t>
      </w:r>
      <w:r w:rsidR="00DB6EC6">
        <w:rPr>
          <w:rFonts w:ascii="Arial" w:hAnsi="Arial" w:cs="Arial"/>
        </w:rPr>
        <w:t>For the purposes of the report, r</w:t>
      </w:r>
      <w:r>
        <w:rPr>
          <w:rFonts w:ascii="Arial" w:hAnsi="Arial" w:cs="Arial"/>
        </w:rPr>
        <w:t>oles within CMB include</w:t>
      </w:r>
      <w:r w:rsidR="005E70BD">
        <w:rPr>
          <w:rFonts w:ascii="Arial" w:hAnsi="Arial" w:cs="Arial"/>
        </w:rPr>
        <w:t>:</w:t>
      </w:r>
      <w:r>
        <w:rPr>
          <w:rFonts w:ascii="Arial" w:hAnsi="Arial" w:cs="Arial"/>
        </w:rPr>
        <w:t xml:space="preserve"> Chief Fire Officer, two Assistant Chief Officers, two Area Managers, Head of Finance and Administration and Head of Technical Services</w:t>
      </w:r>
      <w:r w:rsidR="005E70BD">
        <w:rPr>
          <w:rFonts w:ascii="Arial" w:hAnsi="Arial" w:cs="Arial"/>
        </w:rPr>
        <w:t>.</w:t>
      </w:r>
    </w:p>
    <w:p w:rsidR="00680CF8" w:rsidRDefault="00680CF8" w:rsidP="00680CF8">
      <w:pPr>
        <w:spacing w:after="0" w:line="240" w:lineRule="auto"/>
        <w:jc w:val="both"/>
        <w:rPr>
          <w:rFonts w:ascii="Arial" w:hAnsi="Arial" w:cs="Arial"/>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tblGrid>
      <w:tr w:rsidR="00680CF8" w:rsidRPr="000D6612" w:rsidTr="00CE79D8">
        <w:trPr>
          <w:trHeight w:val="285"/>
        </w:trPr>
        <w:tc>
          <w:tcPr>
            <w:tcW w:w="5103" w:type="dxa"/>
            <w:gridSpan w:val="2"/>
            <w:shd w:val="clear" w:color="auto" w:fill="00B0F0"/>
            <w:noWrap/>
            <w:vAlign w:val="bottom"/>
            <w:hideMark/>
          </w:tcPr>
          <w:p w:rsidR="00680CF8" w:rsidRPr="000D5AB7" w:rsidRDefault="00680CF8" w:rsidP="00CE79D8">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Median Gender Pay Gap</w:t>
            </w:r>
            <w:r>
              <w:rPr>
                <w:rFonts w:ascii="Arial" w:eastAsia="Times New Roman" w:hAnsi="Arial" w:cs="Arial"/>
                <w:b/>
                <w:color w:val="000000"/>
                <w:lang w:eastAsia="en-GB"/>
              </w:rPr>
              <w:t xml:space="preserve"> </w:t>
            </w:r>
            <w:r w:rsidR="00DB6EC6">
              <w:rPr>
                <w:rFonts w:ascii="Arial" w:eastAsia="Times New Roman" w:hAnsi="Arial" w:cs="Arial"/>
                <w:b/>
                <w:color w:val="000000"/>
                <w:lang w:eastAsia="en-GB"/>
              </w:rPr>
              <w:t>–</w:t>
            </w:r>
            <w:r>
              <w:rPr>
                <w:rFonts w:ascii="Arial" w:eastAsia="Times New Roman" w:hAnsi="Arial" w:cs="Arial"/>
                <w:b/>
                <w:color w:val="000000"/>
                <w:lang w:eastAsia="en-GB"/>
              </w:rPr>
              <w:t xml:space="preserve"> CMB</w:t>
            </w:r>
          </w:p>
        </w:tc>
      </w:tr>
      <w:tr w:rsidR="00680CF8" w:rsidRPr="000D6612" w:rsidTr="00CE79D8">
        <w:trPr>
          <w:trHeight w:val="285"/>
        </w:trPr>
        <w:tc>
          <w:tcPr>
            <w:tcW w:w="2977" w:type="dxa"/>
            <w:shd w:val="clear" w:color="auto" w:fill="C6D9F1" w:themeFill="text2" w:themeFillTint="33"/>
            <w:noWrap/>
            <w:vAlign w:val="bottom"/>
            <w:hideMark/>
          </w:tcPr>
          <w:p w:rsidR="00680CF8" w:rsidRPr="000D5AB7" w:rsidRDefault="00680CF8" w:rsidP="00CE79D8">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 xml:space="preserve">Male median </w:t>
            </w:r>
          </w:p>
        </w:tc>
        <w:tc>
          <w:tcPr>
            <w:tcW w:w="2126" w:type="dxa"/>
            <w:shd w:val="clear" w:color="auto" w:fill="C6D9F1" w:themeFill="text2" w:themeFillTint="33"/>
            <w:noWrap/>
            <w:vAlign w:val="bottom"/>
            <w:hideMark/>
          </w:tcPr>
          <w:p w:rsidR="00680CF8" w:rsidRPr="000D6612" w:rsidRDefault="00680CF8" w:rsidP="00680CF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£43.39</w:t>
            </w:r>
          </w:p>
        </w:tc>
      </w:tr>
      <w:tr w:rsidR="00680CF8" w:rsidRPr="000D6612" w:rsidTr="00CE79D8">
        <w:trPr>
          <w:trHeight w:val="285"/>
        </w:trPr>
        <w:tc>
          <w:tcPr>
            <w:tcW w:w="2977" w:type="dxa"/>
            <w:shd w:val="clear" w:color="auto" w:fill="8DB3E2" w:themeFill="text2" w:themeFillTint="66"/>
            <w:noWrap/>
            <w:vAlign w:val="bottom"/>
            <w:hideMark/>
          </w:tcPr>
          <w:p w:rsidR="00680CF8" w:rsidRPr="000D5AB7" w:rsidRDefault="00680CF8" w:rsidP="00CE79D8">
            <w:pPr>
              <w:spacing w:after="0" w:line="240" w:lineRule="auto"/>
              <w:rPr>
                <w:rFonts w:ascii="Arial" w:eastAsia="Times New Roman" w:hAnsi="Arial" w:cs="Arial"/>
                <w:b/>
                <w:color w:val="000000"/>
                <w:lang w:eastAsia="en-GB"/>
              </w:rPr>
            </w:pPr>
            <w:r w:rsidRPr="000D5AB7">
              <w:rPr>
                <w:rFonts w:ascii="Arial" w:eastAsia="Times New Roman" w:hAnsi="Arial" w:cs="Arial"/>
                <w:b/>
                <w:color w:val="000000"/>
                <w:lang w:eastAsia="en-GB"/>
              </w:rPr>
              <w:t>Female median</w:t>
            </w:r>
          </w:p>
        </w:tc>
        <w:tc>
          <w:tcPr>
            <w:tcW w:w="2126" w:type="dxa"/>
            <w:shd w:val="clear" w:color="auto" w:fill="8DB3E2" w:themeFill="text2" w:themeFillTint="66"/>
            <w:noWrap/>
            <w:vAlign w:val="bottom"/>
            <w:hideMark/>
          </w:tcPr>
          <w:p w:rsidR="00680CF8" w:rsidRPr="000D6612" w:rsidRDefault="00680CF8" w:rsidP="00680CF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£31.48</w:t>
            </w:r>
          </w:p>
        </w:tc>
      </w:tr>
    </w:tbl>
    <w:p w:rsidR="00680CF8" w:rsidRDefault="00680CF8" w:rsidP="00EC2E79">
      <w:pPr>
        <w:spacing w:after="0" w:line="240" w:lineRule="auto"/>
        <w:jc w:val="both"/>
        <w:rPr>
          <w:rFonts w:ascii="Arial" w:hAnsi="Arial" w:cs="Arial"/>
        </w:rPr>
      </w:pPr>
    </w:p>
    <w:p w:rsidR="00680CF8" w:rsidRDefault="00680CF8" w:rsidP="00EC2E79">
      <w:pPr>
        <w:spacing w:after="0" w:line="240" w:lineRule="auto"/>
        <w:jc w:val="both"/>
        <w:rPr>
          <w:rFonts w:ascii="Arial" w:hAnsi="Arial" w:cs="Arial"/>
        </w:rPr>
      </w:pPr>
      <w:r>
        <w:rPr>
          <w:rFonts w:ascii="Arial" w:hAnsi="Arial" w:cs="Arial"/>
        </w:rPr>
        <w:t xml:space="preserve">The median pay gap for CMB is 27.45%. </w:t>
      </w:r>
    </w:p>
    <w:p w:rsidR="00D91983" w:rsidRDefault="00D91983" w:rsidP="00EC2E79">
      <w:pPr>
        <w:spacing w:after="0" w:line="240" w:lineRule="auto"/>
        <w:jc w:val="both"/>
        <w:rPr>
          <w:rFonts w:ascii="Arial" w:hAnsi="Arial" w:cs="Arial"/>
        </w:rPr>
      </w:pPr>
    </w:p>
    <w:p w:rsidR="00D91983" w:rsidRPr="007F6CD3" w:rsidRDefault="00D91983" w:rsidP="00EC2E79">
      <w:pPr>
        <w:spacing w:after="0" w:line="240" w:lineRule="auto"/>
        <w:jc w:val="both"/>
        <w:rPr>
          <w:rFonts w:ascii="Arial" w:hAnsi="Arial" w:cs="Arial"/>
        </w:rPr>
      </w:pPr>
    </w:p>
    <w:p w:rsidR="000D6612" w:rsidRPr="002B7FFE" w:rsidRDefault="002C49E4" w:rsidP="0081414E">
      <w:pPr>
        <w:rPr>
          <w:rFonts w:ascii="Arial" w:hAnsi="Arial" w:cs="Arial"/>
          <w:b/>
          <w:u w:val="single"/>
        </w:rPr>
      </w:pPr>
      <w:r w:rsidRPr="002B7FFE">
        <w:rPr>
          <w:rFonts w:ascii="Arial" w:hAnsi="Arial" w:cs="Arial"/>
          <w:b/>
          <w:u w:val="single"/>
        </w:rPr>
        <w:t>Salary Quartile B</w:t>
      </w:r>
      <w:r w:rsidR="007553F9" w:rsidRPr="002B7FFE">
        <w:rPr>
          <w:rFonts w:ascii="Arial" w:hAnsi="Arial" w:cs="Arial"/>
          <w:b/>
          <w:u w:val="single"/>
        </w:rPr>
        <w:t>ands</w:t>
      </w:r>
    </w:p>
    <w:tbl>
      <w:tblPr>
        <w:tblStyle w:val="TableGrid"/>
        <w:tblW w:w="0" w:type="auto"/>
        <w:tblLook w:val="04A0" w:firstRow="1" w:lastRow="0" w:firstColumn="1" w:lastColumn="0" w:noHBand="0" w:noVBand="1"/>
      </w:tblPr>
      <w:tblGrid>
        <w:gridCol w:w="1418"/>
        <w:gridCol w:w="1766"/>
        <w:gridCol w:w="998"/>
        <w:gridCol w:w="1400"/>
        <w:gridCol w:w="1174"/>
        <w:gridCol w:w="1310"/>
        <w:gridCol w:w="1176"/>
      </w:tblGrid>
      <w:tr w:rsidR="00AB28C6" w:rsidTr="002D0646">
        <w:tc>
          <w:tcPr>
            <w:tcW w:w="1418" w:type="dxa"/>
            <w:shd w:val="clear" w:color="auto" w:fill="00B0F0"/>
          </w:tcPr>
          <w:p w:rsidR="00AB28C6" w:rsidRPr="000D5AB7" w:rsidRDefault="00AB28C6" w:rsidP="0081414E">
            <w:pPr>
              <w:rPr>
                <w:rFonts w:ascii="Arial" w:hAnsi="Arial" w:cs="Arial"/>
                <w:b/>
              </w:rPr>
            </w:pPr>
            <w:r w:rsidRPr="000D5AB7">
              <w:rPr>
                <w:rFonts w:ascii="Arial" w:hAnsi="Arial" w:cs="Arial"/>
                <w:b/>
              </w:rPr>
              <w:t>Salary Quartile Bands</w:t>
            </w:r>
          </w:p>
        </w:tc>
        <w:tc>
          <w:tcPr>
            <w:tcW w:w="1766" w:type="dxa"/>
            <w:shd w:val="clear" w:color="auto" w:fill="C6D9F1" w:themeFill="text2" w:themeFillTint="33"/>
          </w:tcPr>
          <w:p w:rsidR="00AB28C6" w:rsidRPr="000D5AB7" w:rsidRDefault="00AB28C6" w:rsidP="0081414E">
            <w:pPr>
              <w:rPr>
                <w:rFonts w:ascii="Arial" w:hAnsi="Arial" w:cs="Arial"/>
                <w:b/>
              </w:rPr>
            </w:pPr>
            <w:r w:rsidRPr="000D5AB7">
              <w:rPr>
                <w:rFonts w:ascii="Arial" w:hAnsi="Arial" w:cs="Arial"/>
                <w:b/>
              </w:rPr>
              <w:t xml:space="preserve">Hourly Rate Range </w:t>
            </w:r>
            <w:r w:rsidR="000D5AB7">
              <w:rPr>
                <w:rFonts w:ascii="Arial" w:hAnsi="Arial" w:cs="Arial"/>
                <w:b/>
              </w:rPr>
              <w:t>(</w:t>
            </w:r>
            <w:r w:rsidRPr="000D5AB7">
              <w:rPr>
                <w:rFonts w:ascii="Arial" w:hAnsi="Arial" w:cs="Arial"/>
                <w:b/>
              </w:rPr>
              <w:t>£</w:t>
            </w:r>
            <w:r w:rsidR="000D5AB7">
              <w:rPr>
                <w:rFonts w:ascii="Arial" w:hAnsi="Arial" w:cs="Arial"/>
                <w:b/>
              </w:rPr>
              <w:t>)</w:t>
            </w:r>
          </w:p>
        </w:tc>
        <w:tc>
          <w:tcPr>
            <w:tcW w:w="998" w:type="dxa"/>
            <w:shd w:val="clear" w:color="auto" w:fill="8DB3E2" w:themeFill="text2" w:themeFillTint="66"/>
          </w:tcPr>
          <w:p w:rsidR="00AB28C6" w:rsidRPr="000D5AB7" w:rsidRDefault="00AB28C6" w:rsidP="0081414E">
            <w:pPr>
              <w:rPr>
                <w:rFonts w:ascii="Arial" w:hAnsi="Arial" w:cs="Arial"/>
                <w:b/>
              </w:rPr>
            </w:pPr>
            <w:r w:rsidRPr="000D5AB7">
              <w:rPr>
                <w:rFonts w:ascii="Arial" w:hAnsi="Arial" w:cs="Arial"/>
                <w:b/>
              </w:rPr>
              <w:t>Female</w:t>
            </w:r>
          </w:p>
          <w:p w:rsidR="00AB28C6" w:rsidRPr="000D5AB7" w:rsidRDefault="000D5AB7" w:rsidP="0081414E">
            <w:pPr>
              <w:rPr>
                <w:rFonts w:ascii="Arial" w:hAnsi="Arial" w:cs="Arial"/>
                <w:b/>
              </w:rPr>
            </w:pPr>
            <w:r>
              <w:rPr>
                <w:rFonts w:ascii="Arial" w:hAnsi="Arial" w:cs="Arial"/>
                <w:b/>
              </w:rPr>
              <w:t>(C</w:t>
            </w:r>
            <w:r w:rsidR="00AB28C6" w:rsidRPr="000D5AB7">
              <w:rPr>
                <w:rFonts w:ascii="Arial" w:hAnsi="Arial" w:cs="Arial"/>
                <w:b/>
              </w:rPr>
              <w:t>ount)</w:t>
            </w:r>
          </w:p>
        </w:tc>
        <w:tc>
          <w:tcPr>
            <w:tcW w:w="1400" w:type="dxa"/>
            <w:shd w:val="clear" w:color="auto" w:fill="8DB3E2" w:themeFill="text2" w:themeFillTint="66"/>
          </w:tcPr>
          <w:p w:rsidR="00AB28C6" w:rsidRPr="000D5AB7" w:rsidRDefault="00AB28C6" w:rsidP="0081414E">
            <w:pPr>
              <w:rPr>
                <w:rFonts w:ascii="Arial" w:hAnsi="Arial" w:cs="Arial"/>
                <w:b/>
              </w:rPr>
            </w:pPr>
            <w:r w:rsidRPr="000D5AB7">
              <w:rPr>
                <w:rFonts w:ascii="Arial" w:hAnsi="Arial" w:cs="Arial"/>
                <w:b/>
              </w:rPr>
              <w:t>Female %</w:t>
            </w:r>
          </w:p>
        </w:tc>
        <w:tc>
          <w:tcPr>
            <w:tcW w:w="1174" w:type="dxa"/>
            <w:shd w:val="clear" w:color="auto" w:fill="C6D9F1" w:themeFill="text2" w:themeFillTint="33"/>
          </w:tcPr>
          <w:p w:rsidR="00AB28C6" w:rsidRPr="000D5AB7" w:rsidRDefault="00AB28C6" w:rsidP="0081414E">
            <w:pPr>
              <w:rPr>
                <w:rFonts w:ascii="Arial" w:hAnsi="Arial" w:cs="Arial"/>
                <w:b/>
              </w:rPr>
            </w:pPr>
            <w:r w:rsidRPr="000D5AB7">
              <w:rPr>
                <w:rFonts w:ascii="Arial" w:hAnsi="Arial" w:cs="Arial"/>
                <w:b/>
              </w:rPr>
              <w:t>Male</w:t>
            </w:r>
          </w:p>
          <w:p w:rsidR="00AB28C6" w:rsidRPr="000D5AB7" w:rsidRDefault="00AB28C6" w:rsidP="0081414E">
            <w:pPr>
              <w:rPr>
                <w:rFonts w:ascii="Arial" w:hAnsi="Arial" w:cs="Arial"/>
                <w:b/>
              </w:rPr>
            </w:pPr>
            <w:r w:rsidRPr="000D5AB7">
              <w:rPr>
                <w:rFonts w:ascii="Arial" w:hAnsi="Arial" w:cs="Arial"/>
                <w:b/>
              </w:rPr>
              <w:t>(Count)</w:t>
            </w:r>
          </w:p>
        </w:tc>
        <w:tc>
          <w:tcPr>
            <w:tcW w:w="1310" w:type="dxa"/>
            <w:shd w:val="clear" w:color="auto" w:fill="C6D9F1" w:themeFill="text2" w:themeFillTint="33"/>
          </w:tcPr>
          <w:p w:rsidR="00AB28C6" w:rsidRPr="000D5AB7" w:rsidRDefault="00AB28C6" w:rsidP="0081414E">
            <w:pPr>
              <w:rPr>
                <w:rFonts w:ascii="Arial" w:hAnsi="Arial" w:cs="Arial"/>
                <w:b/>
              </w:rPr>
            </w:pPr>
            <w:r w:rsidRPr="000D5AB7">
              <w:rPr>
                <w:rFonts w:ascii="Arial" w:hAnsi="Arial" w:cs="Arial"/>
                <w:b/>
              </w:rPr>
              <w:t>Male %</w:t>
            </w:r>
          </w:p>
        </w:tc>
        <w:tc>
          <w:tcPr>
            <w:tcW w:w="1176" w:type="dxa"/>
            <w:shd w:val="clear" w:color="auto" w:fill="DBE5F1" w:themeFill="accent1" w:themeFillTint="33"/>
          </w:tcPr>
          <w:p w:rsidR="00AB28C6" w:rsidRDefault="00AB28C6" w:rsidP="0081414E">
            <w:pPr>
              <w:rPr>
                <w:rFonts w:ascii="Arial" w:hAnsi="Arial" w:cs="Arial"/>
                <w:b/>
              </w:rPr>
            </w:pPr>
            <w:r w:rsidRPr="000D5AB7">
              <w:rPr>
                <w:rFonts w:ascii="Arial" w:hAnsi="Arial" w:cs="Arial"/>
                <w:b/>
              </w:rPr>
              <w:t>Total</w:t>
            </w:r>
          </w:p>
          <w:p w:rsidR="008103A3" w:rsidRPr="000D5AB7" w:rsidRDefault="008103A3" w:rsidP="0081414E">
            <w:pPr>
              <w:rPr>
                <w:rFonts w:ascii="Arial" w:hAnsi="Arial" w:cs="Arial"/>
                <w:b/>
              </w:rPr>
            </w:pPr>
            <w:r>
              <w:rPr>
                <w:rFonts w:ascii="Arial" w:hAnsi="Arial" w:cs="Arial"/>
                <w:b/>
              </w:rPr>
              <w:t>(Count)</w:t>
            </w:r>
          </w:p>
        </w:tc>
      </w:tr>
      <w:tr w:rsidR="00AB28C6" w:rsidTr="002D0646">
        <w:tc>
          <w:tcPr>
            <w:tcW w:w="1418" w:type="dxa"/>
            <w:shd w:val="clear" w:color="auto" w:fill="00B0F0"/>
          </w:tcPr>
          <w:p w:rsidR="000D5AB7" w:rsidRDefault="00AB28C6" w:rsidP="0081414E">
            <w:pPr>
              <w:rPr>
                <w:rFonts w:ascii="Arial" w:hAnsi="Arial" w:cs="Arial"/>
                <w:b/>
              </w:rPr>
            </w:pPr>
            <w:r w:rsidRPr="000D5AB7">
              <w:rPr>
                <w:rFonts w:ascii="Arial" w:hAnsi="Arial" w:cs="Arial"/>
                <w:b/>
              </w:rPr>
              <w:t xml:space="preserve">1 </w:t>
            </w:r>
          </w:p>
          <w:p w:rsidR="00AB28C6" w:rsidRPr="000D5AB7" w:rsidRDefault="00AB28C6" w:rsidP="0081414E">
            <w:pPr>
              <w:rPr>
                <w:rFonts w:ascii="Arial" w:hAnsi="Arial" w:cs="Arial"/>
                <w:b/>
              </w:rPr>
            </w:pPr>
            <w:r w:rsidRPr="000D5AB7">
              <w:rPr>
                <w:rFonts w:ascii="Arial" w:hAnsi="Arial" w:cs="Arial"/>
                <w:b/>
              </w:rPr>
              <w:t>High</w:t>
            </w:r>
          </w:p>
        </w:tc>
        <w:tc>
          <w:tcPr>
            <w:tcW w:w="1766" w:type="dxa"/>
            <w:shd w:val="clear" w:color="auto" w:fill="C6D9F1" w:themeFill="text2" w:themeFillTint="33"/>
          </w:tcPr>
          <w:p w:rsidR="00AB28C6" w:rsidRDefault="00680CF8" w:rsidP="0081414E">
            <w:pPr>
              <w:rPr>
                <w:rFonts w:ascii="Arial" w:hAnsi="Arial" w:cs="Arial"/>
              </w:rPr>
            </w:pPr>
            <w:r>
              <w:rPr>
                <w:rFonts w:ascii="Arial" w:hAnsi="Arial" w:cs="Arial"/>
              </w:rPr>
              <w:t>15.63 – 69.42</w:t>
            </w:r>
          </w:p>
        </w:tc>
        <w:tc>
          <w:tcPr>
            <w:tcW w:w="998" w:type="dxa"/>
            <w:shd w:val="clear" w:color="auto" w:fill="8DB3E2" w:themeFill="text2" w:themeFillTint="66"/>
          </w:tcPr>
          <w:p w:rsidR="00AB28C6" w:rsidRPr="000D5AB7" w:rsidRDefault="002D0646" w:rsidP="0081414E">
            <w:pPr>
              <w:rPr>
                <w:rFonts w:ascii="Arial" w:hAnsi="Arial" w:cs="Arial"/>
                <w:b/>
              </w:rPr>
            </w:pPr>
            <w:r>
              <w:rPr>
                <w:rFonts w:ascii="Arial" w:hAnsi="Arial" w:cs="Arial"/>
                <w:b/>
              </w:rPr>
              <w:t>18</w:t>
            </w:r>
          </w:p>
        </w:tc>
        <w:tc>
          <w:tcPr>
            <w:tcW w:w="1400" w:type="dxa"/>
            <w:shd w:val="clear" w:color="auto" w:fill="8DB3E2" w:themeFill="text2" w:themeFillTint="66"/>
          </w:tcPr>
          <w:p w:rsidR="00AB28C6" w:rsidRPr="000D5AB7" w:rsidRDefault="002D0646" w:rsidP="0081414E">
            <w:pPr>
              <w:rPr>
                <w:rFonts w:ascii="Arial" w:hAnsi="Arial" w:cs="Arial"/>
                <w:b/>
              </w:rPr>
            </w:pPr>
            <w:r>
              <w:rPr>
                <w:rFonts w:ascii="Arial" w:hAnsi="Arial" w:cs="Arial"/>
                <w:b/>
              </w:rPr>
              <w:t>9.47%</w:t>
            </w:r>
          </w:p>
        </w:tc>
        <w:tc>
          <w:tcPr>
            <w:tcW w:w="1174" w:type="dxa"/>
            <w:shd w:val="clear" w:color="auto" w:fill="C6D9F1" w:themeFill="text2" w:themeFillTint="33"/>
          </w:tcPr>
          <w:p w:rsidR="00AB28C6" w:rsidRDefault="002D0646" w:rsidP="002D0646">
            <w:pPr>
              <w:rPr>
                <w:rFonts w:ascii="Arial" w:hAnsi="Arial" w:cs="Arial"/>
              </w:rPr>
            </w:pPr>
            <w:r>
              <w:rPr>
                <w:rFonts w:ascii="Arial" w:hAnsi="Arial" w:cs="Arial"/>
              </w:rPr>
              <w:t>172</w:t>
            </w:r>
          </w:p>
        </w:tc>
        <w:tc>
          <w:tcPr>
            <w:tcW w:w="1310" w:type="dxa"/>
            <w:shd w:val="clear" w:color="auto" w:fill="C6D9F1" w:themeFill="text2" w:themeFillTint="33"/>
          </w:tcPr>
          <w:p w:rsidR="00AB28C6" w:rsidRDefault="002D0646" w:rsidP="0081414E">
            <w:pPr>
              <w:rPr>
                <w:rFonts w:ascii="Arial" w:hAnsi="Arial" w:cs="Arial"/>
              </w:rPr>
            </w:pPr>
            <w:r>
              <w:rPr>
                <w:rFonts w:ascii="Arial" w:hAnsi="Arial" w:cs="Arial"/>
              </w:rPr>
              <w:t>90.53%</w:t>
            </w:r>
          </w:p>
        </w:tc>
        <w:tc>
          <w:tcPr>
            <w:tcW w:w="1176" w:type="dxa"/>
            <w:shd w:val="clear" w:color="auto" w:fill="DBE5F1" w:themeFill="accent1" w:themeFillTint="33"/>
          </w:tcPr>
          <w:p w:rsidR="00AB28C6" w:rsidRPr="000D5AB7" w:rsidRDefault="002D0646" w:rsidP="0081414E">
            <w:pPr>
              <w:rPr>
                <w:rFonts w:ascii="Arial" w:hAnsi="Arial" w:cs="Arial"/>
                <w:b/>
              </w:rPr>
            </w:pPr>
            <w:r>
              <w:rPr>
                <w:rFonts w:ascii="Arial" w:hAnsi="Arial" w:cs="Arial"/>
                <w:b/>
              </w:rPr>
              <w:t>190</w:t>
            </w:r>
          </w:p>
        </w:tc>
      </w:tr>
      <w:tr w:rsidR="00AB28C6" w:rsidTr="002D0646">
        <w:tc>
          <w:tcPr>
            <w:tcW w:w="1418" w:type="dxa"/>
            <w:shd w:val="clear" w:color="auto" w:fill="00B0F0"/>
          </w:tcPr>
          <w:p w:rsidR="000D5AB7" w:rsidRDefault="000D5AB7" w:rsidP="0081414E">
            <w:pPr>
              <w:rPr>
                <w:rFonts w:ascii="Arial" w:hAnsi="Arial" w:cs="Arial"/>
                <w:b/>
              </w:rPr>
            </w:pPr>
            <w:r>
              <w:rPr>
                <w:rFonts w:ascii="Arial" w:hAnsi="Arial" w:cs="Arial"/>
                <w:b/>
              </w:rPr>
              <w:t xml:space="preserve">2 </w:t>
            </w:r>
          </w:p>
          <w:p w:rsidR="00AB28C6" w:rsidRPr="000D5AB7" w:rsidRDefault="00AB28C6" w:rsidP="0081414E">
            <w:pPr>
              <w:rPr>
                <w:rFonts w:ascii="Arial" w:hAnsi="Arial" w:cs="Arial"/>
                <w:b/>
              </w:rPr>
            </w:pPr>
            <w:r w:rsidRPr="000D5AB7">
              <w:rPr>
                <w:rFonts w:ascii="Arial" w:hAnsi="Arial" w:cs="Arial"/>
                <w:b/>
              </w:rPr>
              <w:t>Mid Upper</w:t>
            </w:r>
          </w:p>
        </w:tc>
        <w:tc>
          <w:tcPr>
            <w:tcW w:w="1766" w:type="dxa"/>
            <w:shd w:val="clear" w:color="auto" w:fill="C6D9F1" w:themeFill="text2" w:themeFillTint="33"/>
          </w:tcPr>
          <w:p w:rsidR="00AB28C6" w:rsidRDefault="00680CF8" w:rsidP="0081414E">
            <w:pPr>
              <w:rPr>
                <w:rFonts w:ascii="Arial" w:hAnsi="Arial" w:cs="Arial"/>
              </w:rPr>
            </w:pPr>
            <w:r>
              <w:rPr>
                <w:rFonts w:ascii="Arial" w:hAnsi="Arial" w:cs="Arial"/>
              </w:rPr>
              <w:t>13.91-15.63</w:t>
            </w:r>
          </w:p>
        </w:tc>
        <w:tc>
          <w:tcPr>
            <w:tcW w:w="998" w:type="dxa"/>
            <w:shd w:val="clear" w:color="auto" w:fill="8DB3E2" w:themeFill="text2" w:themeFillTint="66"/>
          </w:tcPr>
          <w:p w:rsidR="00AB28C6" w:rsidRPr="000D5AB7" w:rsidRDefault="002D0646" w:rsidP="0081414E">
            <w:pPr>
              <w:rPr>
                <w:rFonts w:ascii="Arial" w:hAnsi="Arial" w:cs="Arial"/>
                <w:b/>
              </w:rPr>
            </w:pPr>
            <w:r>
              <w:rPr>
                <w:rFonts w:ascii="Arial" w:hAnsi="Arial" w:cs="Arial"/>
                <w:b/>
              </w:rPr>
              <w:t>20</w:t>
            </w:r>
          </w:p>
        </w:tc>
        <w:tc>
          <w:tcPr>
            <w:tcW w:w="1400" w:type="dxa"/>
            <w:shd w:val="clear" w:color="auto" w:fill="8DB3E2" w:themeFill="text2" w:themeFillTint="66"/>
          </w:tcPr>
          <w:p w:rsidR="00AB28C6" w:rsidRPr="000D5AB7" w:rsidRDefault="002D0646" w:rsidP="0081414E">
            <w:pPr>
              <w:rPr>
                <w:rFonts w:ascii="Arial" w:hAnsi="Arial" w:cs="Arial"/>
                <w:b/>
              </w:rPr>
            </w:pPr>
            <w:r>
              <w:rPr>
                <w:rFonts w:ascii="Arial" w:hAnsi="Arial" w:cs="Arial"/>
                <w:b/>
              </w:rPr>
              <w:t>10.53%</w:t>
            </w:r>
          </w:p>
        </w:tc>
        <w:tc>
          <w:tcPr>
            <w:tcW w:w="1174" w:type="dxa"/>
            <w:shd w:val="clear" w:color="auto" w:fill="C6D9F1" w:themeFill="text2" w:themeFillTint="33"/>
          </w:tcPr>
          <w:p w:rsidR="00AB28C6" w:rsidRDefault="002D0646" w:rsidP="0081414E">
            <w:pPr>
              <w:rPr>
                <w:rFonts w:ascii="Arial" w:hAnsi="Arial" w:cs="Arial"/>
              </w:rPr>
            </w:pPr>
            <w:r>
              <w:rPr>
                <w:rFonts w:ascii="Arial" w:hAnsi="Arial" w:cs="Arial"/>
              </w:rPr>
              <w:t>170</w:t>
            </w:r>
          </w:p>
        </w:tc>
        <w:tc>
          <w:tcPr>
            <w:tcW w:w="1310" w:type="dxa"/>
            <w:shd w:val="clear" w:color="auto" w:fill="C6D9F1" w:themeFill="text2" w:themeFillTint="33"/>
          </w:tcPr>
          <w:p w:rsidR="00AB28C6" w:rsidRDefault="002D0646" w:rsidP="0081414E">
            <w:pPr>
              <w:rPr>
                <w:rFonts w:ascii="Arial" w:hAnsi="Arial" w:cs="Arial"/>
              </w:rPr>
            </w:pPr>
            <w:r>
              <w:rPr>
                <w:rFonts w:ascii="Arial" w:hAnsi="Arial" w:cs="Arial"/>
              </w:rPr>
              <w:t>89.74%</w:t>
            </w:r>
          </w:p>
        </w:tc>
        <w:tc>
          <w:tcPr>
            <w:tcW w:w="1176" w:type="dxa"/>
            <w:shd w:val="clear" w:color="auto" w:fill="DBE5F1" w:themeFill="accent1" w:themeFillTint="33"/>
          </w:tcPr>
          <w:p w:rsidR="001F18D4" w:rsidRPr="000D5AB7" w:rsidRDefault="002D0646" w:rsidP="0081414E">
            <w:pPr>
              <w:rPr>
                <w:rFonts w:ascii="Arial" w:hAnsi="Arial" w:cs="Arial"/>
                <w:b/>
              </w:rPr>
            </w:pPr>
            <w:r>
              <w:rPr>
                <w:rFonts w:ascii="Arial" w:hAnsi="Arial" w:cs="Arial"/>
                <w:b/>
              </w:rPr>
              <w:t>190</w:t>
            </w:r>
          </w:p>
        </w:tc>
      </w:tr>
      <w:tr w:rsidR="00AB28C6" w:rsidTr="002D0646">
        <w:tc>
          <w:tcPr>
            <w:tcW w:w="1418" w:type="dxa"/>
            <w:shd w:val="clear" w:color="auto" w:fill="00B0F0"/>
          </w:tcPr>
          <w:p w:rsidR="000D5AB7" w:rsidRDefault="00AB28C6" w:rsidP="0081414E">
            <w:pPr>
              <w:rPr>
                <w:rFonts w:ascii="Arial" w:hAnsi="Arial" w:cs="Arial"/>
                <w:b/>
              </w:rPr>
            </w:pPr>
            <w:r w:rsidRPr="000D5AB7">
              <w:rPr>
                <w:rFonts w:ascii="Arial" w:hAnsi="Arial" w:cs="Arial"/>
                <w:b/>
              </w:rPr>
              <w:t xml:space="preserve">3 </w:t>
            </w:r>
          </w:p>
          <w:p w:rsidR="00AB28C6" w:rsidRPr="000D5AB7" w:rsidRDefault="00AB28C6" w:rsidP="0081414E">
            <w:pPr>
              <w:rPr>
                <w:rFonts w:ascii="Arial" w:hAnsi="Arial" w:cs="Arial"/>
                <w:b/>
              </w:rPr>
            </w:pPr>
            <w:r w:rsidRPr="000D5AB7">
              <w:rPr>
                <w:rFonts w:ascii="Arial" w:hAnsi="Arial" w:cs="Arial"/>
                <w:b/>
              </w:rPr>
              <w:t>Mid Lower</w:t>
            </w:r>
          </w:p>
        </w:tc>
        <w:tc>
          <w:tcPr>
            <w:tcW w:w="1766" w:type="dxa"/>
            <w:shd w:val="clear" w:color="auto" w:fill="C6D9F1" w:themeFill="text2" w:themeFillTint="33"/>
          </w:tcPr>
          <w:p w:rsidR="00AB28C6" w:rsidRDefault="00680CF8" w:rsidP="0081414E">
            <w:pPr>
              <w:rPr>
                <w:rFonts w:ascii="Arial" w:hAnsi="Arial" w:cs="Arial"/>
              </w:rPr>
            </w:pPr>
            <w:r>
              <w:rPr>
                <w:rFonts w:ascii="Arial" w:hAnsi="Arial" w:cs="Arial"/>
              </w:rPr>
              <w:t>11.74-13.91</w:t>
            </w:r>
          </w:p>
        </w:tc>
        <w:tc>
          <w:tcPr>
            <w:tcW w:w="998" w:type="dxa"/>
            <w:shd w:val="clear" w:color="auto" w:fill="8DB3E2" w:themeFill="text2" w:themeFillTint="66"/>
          </w:tcPr>
          <w:p w:rsidR="00AB28C6" w:rsidRPr="000D5AB7" w:rsidRDefault="002D0646" w:rsidP="0081414E">
            <w:pPr>
              <w:rPr>
                <w:rFonts w:ascii="Arial" w:hAnsi="Arial" w:cs="Arial"/>
                <w:b/>
              </w:rPr>
            </w:pPr>
            <w:r>
              <w:rPr>
                <w:rFonts w:ascii="Arial" w:hAnsi="Arial" w:cs="Arial"/>
                <w:b/>
              </w:rPr>
              <w:t>13</w:t>
            </w:r>
          </w:p>
        </w:tc>
        <w:tc>
          <w:tcPr>
            <w:tcW w:w="1400" w:type="dxa"/>
            <w:shd w:val="clear" w:color="auto" w:fill="8DB3E2" w:themeFill="text2" w:themeFillTint="66"/>
          </w:tcPr>
          <w:p w:rsidR="00AB28C6" w:rsidRPr="000D5AB7" w:rsidRDefault="002D0646" w:rsidP="0081414E">
            <w:pPr>
              <w:rPr>
                <w:rFonts w:ascii="Arial" w:hAnsi="Arial" w:cs="Arial"/>
                <w:b/>
              </w:rPr>
            </w:pPr>
            <w:r>
              <w:rPr>
                <w:rFonts w:ascii="Arial" w:hAnsi="Arial" w:cs="Arial"/>
                <w:b/>
              </w:rPr>
              <w:t>6.84%</w:t>
            </w:r>
          </w:p>
        </w:tc>
        <w:tc>
          <w:tcPr>
            <w:tcW w:w="1174" w:type="dxa"/>
            <w:shd w:val="clear" w:color="auto" w:fill="C6D9F1" w:themeFill="text2" w:themeFillTint="33"/>
          </w:tcPr>
          <w:p w:rsidR="00AB28C6" w:rsidRDefault="002D0646" w:rsidP="0081414E">
            <w:pPr>
              <w:rPr>
                <w:rFonts w:ascii="Arial" w:hAnsi="Arial" w:cs="Arial"/>
              </w:rPr>
            </w:pPr>
            <w:r>
              <w:rPr>
                <w:rFonts w:ascii="Arial" w:hAnsi="Arial" w:cs="Arial"/>
              </w:rPr>
              <w:t>177</w:t>
            </w:r>
          </w:p>
        </w:tc>
        <w:tc>
          <w:tcPr>
            <w:tcW w:w="1310" w:type="dxa"/>
            <w:shd w:val="clear" w:color="auto" w:fill="C6D9F1" w:themeFill="text2" w:themeFillTint="33"/>
          </w:tcPr>
          <w:p w:rsidR="00AB28C6" w:rsidRDefault="002D0646" w:rsidP="0081414E">
            <w:pPr>
              <w:rPr>
                <w:rFonts w:ascii="Arial" w:hAnsi="Arial" w:cs="Arial"/>
              </w:rPr>
            </w:pPr>
            <w:r>
              <w:rPr>
                <w:rFonts w:ascii="Arial" w:hAnsi="Arial" w:cs="Arial"/>
              </w:rPr>
              <w:t>93.16%</w:t>
            </w:r>
          </w:p>
        </w:tc>
        <w:tc>
          <w:tcPr>
            <w:tcW w:w="1176" w:type="dxa"/>
            <w:shd w:val="clear" w:color="auto" w:fill="DBE5F1" w:themeFill="accent1" w:themeFillTint="33"/>
          </w:tcPr>
          <w:p w:rsidR="00AB28C6" w:rsidRPr="000D5AB7" w:rsidRDefault="002D0646" w:rsidP="0081414E">
            <w:pPr>
              <w:rPr>
                <w:rFonts w:ascii="Arial" w:hAnsi="Arial" w:cs="Arial"/>
                <w:b/>
              </w:rPr>
            </w:pPr>
            <w:r>
              <w:rPr>
                <w:rFonts w:ascii="Arial" w:hAnsi="Arial" w:cs="Arial"/>
                <w:b/>
              </w:rPr>
              <w:t>190</w:t>
            </w:r>
          </w:p>
        </w:tc>
      </w:tr>
      <w:tr w:rsidR="00AB28C6" w:rsidTr="002D0646">
        <w:tc>
          <w:tcPr>
            <w:tcW w:w="1418" w:type="dxa"/>
            <w:shd w:val="clear" w:color="auto" w:fill="00B0F0"/>
          </w:tcPr>
          <w:p w:rsidR="000D5AB7" w:rsidRDefault="00AB28C6" w:rsidP="0081414E">
            <w:pPr>
              <w:rPr>
                <w:rFonts w:ascii="Arial" w:hAnsi="Arial" w:cs="Arial"/>
                <w:b/>
              </w:rPr>
            </w:pPr>
            <w:r w:rsidRPr="000D5AB7">
              <w:rPr>
                <w:rFonts w:ascii="Arial" w:hAnsi="Arial" w:cs="Arial"/>
                <w:b/>
              </w:rPr>
              <w:t xml:space="preserve">4 </w:t>
            </w:r>
          </w:p>
          <w:p w:rsidR="00AB28C6" w:rsidRPr="000D5AB7" w:rsidRDefault="00AB28C6" w:rsidP="0081414E">
            <w:pPr>
              <w:rPr>
                <w:rFonts w:ascii="Arial" w:hAnsi="Arial" w:cs="Arial"/>
                <w:b/>
              </w:rPr>
            </w:pPr>
            <w:r w:rsidRPr="000D5AB7">
              <w:rPr>
                <w:rFonts w:ascii="Arial" w:hAnsi="Arial" w:cs="Arial"/>
                <w:b/>
              </w:rPr>
              <w:t>Low</w:t>
            </w:r>
          </w:p>
        </w:tc>
        <w:tc>
          <w:tcPr>
            <w:tcW w:w="1766" w:type="dxa"/>
            <w:shd w:val="clear" w:color="auto" w:fill="C6D9F1" w:themeFill="text2" w:themeFillTint="33"/>
          </w:tcPr>
          <w:p w:rsidR="00AB28C6" w:rsidRDefault="002D0646" w:rsidP="0081414E">
            <w:pPr>
              <w:rPr>
                <w:rFonts w:ascii="Arial" w:hAnsi="Arial" w:cs="Arial"/>
              </w:rPr>
            </w:pPr>
            <w:r>
              <w:rPr>
                <w:rFonts w:ascii="Arial" w:hAnsi="Arial" w:cs="Arial"/>
              </w:rPr>
              <w:t xml:space="preserve">8.19- </w:t>
            </w:r>
            <w:r w:rsidR="00680CF8">
              <w:rPr>
                <w:rFonts w:ascii="Arial" w:hAnsi="Arial" w:cs="Arial"/>
              </w:rPr>
              <w:t>11.74</w:t>
            </w:r>
          </w:p>
        </w:tc>
        <w:tc>
          <w:tcPr>
            <w:tcW w:w="998" w:type="dxa"/>
            <w:shd w:val="clear" w:color="auto" w:fill="8DB3E2" w:themeFill="text2" w:themeFillTint="66"/>
          </w:tcPr>
          <w:p w:rsidR="00AB28C6" w:rsidRPr="000D5AB7" w:rsidRDefault="002D0646" w:rsidP="0081414E">
            <w:pPr>
              <w:rPr>
                <w:rFonts w:ascii="Arial" w:hAnsi="Arial" w:cs="Arial"/>
                <w:b/>
              </w:rPr>
            </w:pPr>
            <w:r>
              <w:rPr>
                <w:rFonts w:ascii="Arial" w:hAnsi="Arial" w:cs="Arial"/>
                <w:b/>
              </w:rPr>
              <w:t>40</w:t>
            </w:r>
          </w:p>
        </w:tc>
        <w:tc>
          <w:tcPr>
            <w:tcW w:w="1400" w:type="dxa"/>
            <w:shd w:val="clear" w:color="auto" w:fill="8DB3E2" w:themeFill="text2" w:themeFillTint="66"/>
          </w:tcPr>
          <w:p w:rsidR="00AB28C6" w:rsidRPr="000D5AB7" w:rsidRDefault="002D0646" w:rsidP="0081414E">
            <w:pPr>
              <w:rPr>
                <w:rFonts w:ascii="Arial" w:hAnsi="Arial" w:cs="Arial"/>
                <w:b/>
              </w:rPr>
            </w:pPr>
            <w:r>
              <w:rPr>
                <w:rFonts w:ascii="Arial" w:hAnsi="Arial" w:cs="Arial"/>
                <w:b/>
              </w:rPr>
              <w:t>21.16%</w:t>
            </w:r>
          </w:p>
        </w:tc>
        <w:tc>
          <w:tcPr>
            <w:tcW w:w="1174" w:type="dxa"/>
            <w:shd w:val="clear" w:color="auto" w:fill="C6D9F1" w:themeFill="text2" w:themeFillTint="33"/>
          </w:tcPr>
          <w:p w:rsidR="00AB28C6" w:rsidRDefault="002D0646" w:rsidP="0081414E">
            <w:pPr>
              <w:rPr>
                <w:rFonts w:ascii="Arial" w:hAnsi="Arial" w:cs="Arial"/>
              </w:rPr>
            </w:pPr>
            <w:r>
              <w:rPr>
                <w:rFonts w:ascii="Arial" w:hAnsi="Arial" w:cs="Arial"/>
              </w:rPr>
              <w:t>149</w:t>
            </w:r>
          </w:p>
        </w:tc>
        <w:tc>
          <w:tcPr>
            <w:tcW w:w="1310" w:type="dxa"/>
            <w:shd w:val="clear" w:color="auto" w:fill="C6D9F1" w:themeFill="text2" w:themeFillTint="33"/>
          </w:tcPr>
          <w:p w:rsidR="00AB28C6" w:rsidRDefault="002D0646" w:rsidP="0081414E">
            <w:pPr>
              <w:rPr>
                <w:rFonts w:ascii="Arial" w:hAnsi="Arial" w:cs="Arial"/>
              </w:rPr>
            </w:pPr>
            <w:r>
              <w:rPr>
                <w:rFonts w:ascii="Arial" w:hAnsi="Arial" w:cs="Arial"/>
              </w:rPr>
              <w:t>78.84%</w:t>
            </w:r>
          </w:p>
        </w:tc>
        <w:tc>
          <w:tcPr>
            <w:tcW w:w="1176" w:type="dxa"/>
            <w:shd w:val="clear" w:color="auto" w:fill="DBE5F1" w:themeFill="accent1" w:themeFillTint="33"/>
          </w:tcPr>
          <w:p w:rsidR="00AB28C6" w:rsidRPr="000D5AB7" w:rsidRDefault="002D0646" w:rsidP="0081414E">
            <w:pPr>
              <w:rPr>
                <w:rFonts w:ascii="Arial" w:hAnsi="Arial" w:cs="Arial"/>
                <w:b/>
              </w:rPr>
            </w:pPr>
            <w:r>
              <w:rPr>
                <w:rFonts w:ascii="Arial" w:hAnsi="Arial" w:cs="Arial"/>
                <w:b/>
              </w:rPr>
              <w:t>189</w:t>
            </w:r>
          </w:p>
        </w:tc>
      </w:tr>
    </w:tbl>
    <w:p w:rsidR="00EC2E79" w:rsidRDefault="00EC2E79" w:rsidP="002B7FFE">
      <w:pPr>
        <w:spacing w:after="0" w:line="240" w:lineRule="auto"/>
        <w:jc w:val="both"/>
        <w:rPr>
          <w:rFonts w:ascii="Arial" w:hAnsi="Arial" w:cs="Arial"/>
        </w:rPr>
      </w:pPr>
    </w:p>
    <w:p w:rsidR="002B7FFE" w:rsidRDefault="00DA6E5C" w:rsidP="00463536">
      <w:pPr>
        <w:spacing w:after="0" w:line="240" w:lineRule="auto"/>
        <w:jc w:val="both"/>
        <w:rPr>
          <w:rFonts w:ascii="Arial" w:hAnsi="Arial" w:cs="Arial"/>
        </w:rPr>
      </w:pPr>
      <w:r w:rsidRPr="001F18D4">
        <w:rPr>
          <w:rFonts w:ascii="Arial" w:hAnsi="Arial" w:cs="Arial"/>
        </w:rPr>
        <w:t xml:space="preserve">Women are represented at </w:t>
      </w:r>
      <w:r w:rsidR="00E62DBC">
        <w:rPr>
          <w:rFonts w:ascii="Arial" w:hAnsi="Arial" w:cs="Arial"/>
        </w:rPr>
        <w:t xml:space="preserve">all levels across the </w:t>
      </w:r>
      <w:r w:rsidR="002864E4">
        <w:rPr>
          <w:rFonts w:ascii="Arial" w:hAnsi="Arial" w:cs="Arial"/>
        </w:rPr>
        <w:t>organisation</w:t>
      </w:r>
      <w:r w:rsidR="003152CE">
        <w:rPr>
          <w:rFonts w:ascii="Arial" w:hAnsi="Arial" w:cs="Arial"/>
        </w:rPr>
        <w:t>, including</w:t>
      </w:r>
      <w:r w:rsidRPr="001F18D4">
        <w:rPr>
          <w:rFonts w:ascii="Arial" w:hAnsi="Arial" w:cs="Arial"/>
        </w:rPr>
        <w:t xml:space="preserve"> </w:t>
      </w:r>
      <w:r w:rsidR="002864E4">
        <w:rPr>
          <w:rFonts w:ascii="Arial" w:hAnsi="Arial" w:cs="Arial"/>
        </w:rPr>
        <w:t xml:space="preserve">the Services </w:t>
      </w:r>
      <w:r w:rsidRPr="001F18D4">
        <w:rPr>
          <w:rFonts w:ascii="Arial" w:hAnsi="Arial" w:cs="Arial"/>
        </w:rPr>
        <w:t>Corporate Management Board</w:t>
      </w:r>
      <w:r w:rsidR="002864E4">
        <w:rPr>
          <w:rFonts w:ascii="Arial" w:hAnsi="Arial" w:cs="Arial"/>
        </w:rPr>
        <w:t xml:space="preserve">. </w:t>
      </w:r>
      <w:r w:rsidR="0081414E">
        <w:rPr>
          <w:rFonts w:ascii="Arial" w:hAnsi="Arial" w:cs="Arial"/>
        </w:rPr>
        <w:t xml:space="preserve"> </w:t>
      </w:r>
    </w:p>
    <w:p w:rsidR="002B7FFE" w:rsidRDefault="002B7FFE" w:rsidP="00463536">
      <w:pPr>
        <w:spacing w:after="0" w:line="240" w:lineRule="auto"/>
        <w:jc w:val="both"/>
        <w:rPr>
          <w:rFonts w:ascii="Arial" w:hAnsi="Arial" w:cs="Arial"/>
        </w:rPr>
      </w:pPr>
    </w:p>
    <w:p w:rsidR="00342637" w:rsidRDefault="00DA6E5C" w:rsidP="00463536">
      <w:pPr>
        <w:spacing w:after="0" w:line="240" w:lineRule="auto"/>
        <w:jc w:val="both"/>
        <w:rPr>
          <w:rFonts w:ascii="Arial" w:hAnsi="Arial" w:cs="Arial"/>
        </w:rPr>
      </w:pPr>
      <w:r w:rsidRPr="001F18D4">
        <w:rPr>
          <w:rFonts w:ascii="Arial" w:hAnsi="Arial" w:cs="Arial"/>
        </w:rPr>
        <w:t xml:space="preserve">The </w:t>
      </w:r>
      <w:r w:rsidR="00E62DBC">
        <w:rPr>
          <w:rFonts w:ascii="Arial" w:hAnsi="Arial" w:cs="Arial"/>
        </w:rPr>
        <w:t>support</w:t>
      </w:r>
      <w:r w:rsidRPr="001F18D4">
        <w:rPr>
          <w:rFonts w:ascii="Arial" w:hAnsi="Arial" w:cs="Arial"/>
        </w:rPr>
        <w:t xml:space="preserve"> staff composit</w:t>
      </w:r>
      <w:r w:rsidR="009A5E3A">
        <w:rPr>
          <w:rFonts w:ascii="Arial" w:hAnsi="Arial" w:cs="Arial"/>
        </w:rPr>
        <w:t>ion</w:t>
      </w:r>
      <w:r w:rsidRPr="001F18D4">
        <w:rPr>
          <w:rFonts w:ascii="Arial" w:hAnsi="Arial" w:cs="Arial"/>
        </w:rPr>
        <w:t xml:space="preserve"> is more </w:t>
      </w:r>
      <w:r w:rsidR="00BF043C">
        <w:rPr>
          <w:rFonts w:ascii="Arial" w:hAnsi="Arial" w:cs="Arial"/>
        </w:rPr>
        <w:t>evenly balance</w:t>
      </w:r>
      <w:r w:rsidR="00DB6EC6">
        <w:rPr>
          <w:rFonts w:ascii="Arial" w:hAnsi="Arial" w:cs="Arial"/>
        </w:rPr>
        <w:t xml:space="preserve">d and </w:t>
      </w:r>
      <w:r w:rsidR="003F53A1">
        <w:rPr>
          <w:rFonts w:ascii="Arial" w:hAnsi="Arial" w:cs="Arial"/>
        </w:rPr>
        <w:t xml:space="preserve">is </w:t>
      </w:r>
      <w:r w:rsidRPr="001F18D4">
        <w:rPr>
          <w:rFonts w:ascii="Arial" w:hAnsi="Arial" w:cs="Arial"/>
        </w:rPr>
        <w:t>represent</w:t>
      </w:r>
      <w:r w:rsidR="00DB6EC6">
        <w:rPr>
          <w:rFonts w:ascii="Arial" w:hAnsi="Arial" w:cs="Arial"/>
        </w:rPr>
        <w:t>ed by</w:t>
      </w:r>
      <w:r w:rsidRPr="001F18D4">
        <w:rPr>
          <w:rFonts w:ascii="Arial" w:hAnsi="Arial" w:cs="Arial"/>
        </w:rPr>
        <w:t xml:space="preserve"> </w:t>
      </w:r>
      <w:r w:rsidR="00DB6EC6">
        <w:rPr>
          <w:rFonts w:ascii="Arial" w:hAnsi="Arial" w:cs="Arial"/>
        </w:rPr>
        <w:t>6</w:t>
      </w:r>
      <w:r w:rsidR="0051324D">
        <w:rPr>
          <w:rFonts w:ascii="Arial" w:hAnsi="Arial" w:cs="Arial"/>
        </w:rPr>
        <w:t>5</w:t>
      </w:r>
      <w:r w:rsidR="00DB6EC6">
        <w:rPr>
          <w:rFonts w:ascii="Arial" w:hAnsi="Arial" w:cs="Arial"/>
        </w:rPr>
        <w:t>.</w:t>
      </w:r>
      <w:r w:rsidR="0051324D">
        <w:rPr>
          <w:rFonts w:ascii="Arial" w:hAnsi="Arial" w:cs="Arial"/>
        </w:rPr>
        <w:t>5</w:t>
      </w:r>
      <w:r w:rsidRPr="001F18D4">
        <w:rPr>
          <w:rFonts w:ascii="Arial" w:hAnsi="Arial" w:cs="Arial"/>
        </w:rPr>
        <w:t xml:space="preserve">% </w:t>
      </w:r>
      <w:r w:rsidR="00E62DBC">
        <w:rPr>
          <w:rFonts w:ascii="Arial" w:hAnsi="Arial" w:cs="Arial"/>
        </w:rPr>
        <w:t>of women</w:t>
      </w:r>
      <w:r w:rsidRPr="001F18D4">
        <w:rPr>
          <w:rFonts w:ascii="Arial" w:hAnsi="Arial" w:cs="Arial"/>
        </w:rPr>
        <w:t xml:space="preserve"> compared to </w:t>
      </w:r>
      <w:r w:rsidR="00342637">
        <w:rPr>
          <w:rFonts w:ascii="Arial" w:hAnsi="Arial" w:cs="Arial"/>
        </w:rPr>
        <w:t>4.76</w:t>
      </w:r>
      <w:r w:rsidRPr="001F18D4">
        <w:rPr>
          <w:rFonts w:ascii="Arial" w:hAnsi="Arial" w:cs="Arial"/>
        </w:rPr>
        <w:t xml:space="preserve">% </w:t>
      </w:r>
      <w:r w:rsidR="005E70BD">
        <w:rPr>
          <w:rFonts w:ascii="Arial" w:hAnsi="Arial" w:cs="Arial"/>
        </w:rPr>
        <w:t xml:space="preserve">of </w:t>
      </w:r>
      <w:r w:rsidR="00E62DBC">
        <w:rPr>
          <w:rFonts w:ascii="Arial" w:hAnsi="Arial" w:cs="Arial"/>
        </w:rPr>
        <w:t>women in</w:t>
      </w:r>
      <w:r w:rsidRPr="001F18D4">
        <w:rPr>
          <w:rFonts w:ascii="Arial" w:hAnsi="Arial" w:cs="Arial"/>
        </w:rPr>
        <w:t xml:space="preserve"> the operational </w:t>
      </w:r>
      <w:r w:rsidR="008103A3">
        <w:rPr>
          <w:rFonts w:ascii="Arial" w:hAnsi="Arial" w:cs="Arial"/>
        </w:rPr>
        <w:t>work</w:t>
      </w:r>
      <w:r w:rsidRPr="001F18D4">
        <w:rPr>
          <w:rFonts w:ascii="Arial" w:hAnsi="Arial" w:cs="Arial"/>
        </w:rPr>
        <w:t>force</w:t>
      </w:r>
      <w:r w:rsidR="00342637">
        <w:rPr>
          <w:rFonts w:ascii="Arial" w:hAnsi="Arial" w:cs="Arial"/>
        </w:rPr>
        <w:t xml:space="preserve"> (Firefighter and Control Staff)</w:t>
      </w:r>
      <w:r w:rsidRPr="001F18D4">
        <w:rPr>
          <w:rFonts w:ascii="Arial" w:hAnsi="Arial" w:cs="Arial"/>
        </w:rPr>
        <w:t xml:space="preserve">.  </w:t>
      </w:r>
    </w:p>
    <w:p w:rsidR="00342637" w:rsidRDefault="00342637" w:rsidP="00463536">
      <w:pPr>
        <w:spacing w:after="0" w:line="240" w:lineRule="auto"/>
        <w:jc w:val="both"/>
        <w:rPr>
          <w:rFonts w:ascii="Arial" w:hAnsi="Arial" w:cs="Arial"/>
        </w:rPr>
      </w:pPr>
    </w:p>
    <w:p w:rsidR="00DB746F" w:rsidRDefault="00670761" w:rsidP="00463536">
      <w:pPr>
        <w:spacing w:after="0" w:line="240" w:lineRule="auto"/>
        <w:jc w:val="both"/>
        <w:rPr>
          <w:rFonts w:ascii="Arial" w:hAnsi="Arial" w:cs="Arial"/>
        </w:rPr>
      </w:pPr>
      <w:r>
        <w:rPr>
          <w:rFonts w:ascii="Arial" w:hAnsi="Arial" w:cs="Arial"/>
        </w:rPr>
        <w:t xml:space="preserve">The high quartile </w:t>
      </w:r>
      <w:r w:rsidR="00342637">
        <w:rPr>
          <w:rFonts w:ascii="Arial" w:hAnsi="Arial" w:cs="Arial"/>
        </w:rPr>
        <w:t xml:space="preserve">illustrates the highest earners in NYFRS and </w:t>
      </w:r>
      <w:r>
        <w:rPr>
          <w:rFonts w:ascii="Arial" w:hAnsi="Arial" w:cs="Arial"/>
        </w:rPr>
        <w:t xml:space="preserve">contains </w:t>
      </w:r>
      <w:r w:rsidR="00342637">
        <w:rPr>
          <w:rFonts w:ascii="Arial" w:hAnsi="Arial" w:cs="Arial"/>
        </w:rPr>
        <w:t>19.78</w:t>
      </w:r>
      <w:r>
        <w:rPr>
          <w:rFonts w:ascii="Arial" w:hAnsi="Arial" w:cs="Arial"/>
        </w:rPr>
        <w:t xml:space="preserve">% </w:t>
      </w:r>
      <w:r w:rsidR="00DB746F">
        <w:rPr>
          <w:rFonts w:ascii="Arial" w:hAnsi="Arial" w:cs="Arial"/>
        </w:rPr>
        <w:t xml:space="preserve">of the female workforce compared to </w:t>
      </w:r>
      <w:r w:rsidR="00342637">
        <w:rPr>
          <w:rFonts w:ascii="Arial" w:hAnsi="Arial" w:cs="Arial"/>
        </w:rPr>
        <w:t>25.75</w:t>
      </w:r>
      <w:r w:rsidR="00DB746F">
        <w:rPr>
          <w:rFonts w:ascii="Arial" w:hAnsi="Arial" w:cs="Arial"/>
        </w:rPr>
        <w:t>% of the male workforce</w:t>
      </w:r>
      <w:r w:rsidR="00342637">
        <w:rPr>
          <w:rFonts w:ascii="Arial" w:hAnsi="Arial" w:cs="Arial"/>
        </w:rPr>
        <w:t>.</w:t>
      </w:r>
      <w:r w:rsidR="00DB746F">
        <w:rPr>
          <w:rFonts w:ascii="Arial" w:hAnsi="Arial" w:cs="Arial"/>
        </w:rPr>
        <w:t xml:space="preserve"> </w:t>
      </w:r>
    </w:p>
    <w:p w:rsidR="00185EB1" w:rsidRDefault="00185EB1" w:rsidP="00463536">
      <w:pPr>
        <w:spacing w:after="0" w:line="240" w:lineRule="auto"/>
        <w:jc w:val="both"/>
        <w:rPr>
          <w:rFonts w:ascii="Arial" w:hAnsi="Arial" w:cs="Arial"/>
        </w:rPr>
      </w:pPr>
    </w:p>
    <w:p w:rsidR="00185EB1" w:rsidRDefault="00185EB1" w:rsidP="00185EB1">
      <w:pPr>
        <w:spacing w:after="0" w:line="240" w:lineRule="auto"/>
        <w:jc w:val="both"/>
        <w:rPr>
          <w:rFonts w:ascii="Arial" w:hAnsi="Arial" w:cs="Arial"/>
        </w:rPr>
      </w:pPr>
      <w:r>
        <w:rPr>
          <w:rFonts w:ascii="Arial" w:hAnsi="Arial" w:cs="Arial"/>
        </w:rPr>
        <w:t xml:space="preserve">The highest numbers of females are in the mid upper quartile which contains skilled roles, the majority of which are from within the Support Staff group. </w:t>
      </w:r>
    </w:p>
    <w:p w:rsidR="00EC2E79" w:rsidRDefault="00EC2E79" w:rsidP="002B7FFE">
      <w:pPr>
        <w:spacing w:after="0" w:line="240" w:lineRule="auto"/>
        <w:jc w:val="both"/>
        <w:rPr>
          <w:rFonts w:ascii="Arial" w:hAnsi="Arial" w:cs="Arial"/>
        </w:rPr>
      </w:pPr>
    </w:p>
    <w:p w:rsidR="00AF3BE9" w:rsidRDefault="00014216" w:rsidP="002B7FFE">
      <w:pPr>
        <w:spacing w:after="0" w:line="240" w:lineRule="auto"/>
        <w:jc w:val="both"/>
        <w:rPr>
          <w:rFonts w:ascii="Arial" w:hAnsi="Arial" w:cs="Arial"/>
        </w:rPr>
      </w:pPr>
      <w:r>
        <w:rPr>
          <w:rFonts w:ascii="Arial" w:hAnsi="Arial" w:cs="Arial"/>
        </w:rPr>
        <w:t>NYFRS has a high proportion of staff from the Retained Duty System</w:t>
      </w:r>
      <w:r w:rsidR="002B7FFE">
        <w:rPr>
          <w:rFonts w:ascii="Arial" w:hAnsi="Arial" w:cs="Arial"/>
        </w:rPr>
        <w:t>. T</w:t>
      </w:r>
      <w:r>
        <w:rPr>
          <w:rFonts w:ascii="Arial" w:hAnsi="Arial" w:cs="Arial"/>
        </w:rPr>
        <w:t>his group of staff respond to station to station on a</w:t>
      </w:r>
      <w:r w:rsidR="003E3DDC">
        <w:rPr>
          <w:rFonts w:ascii="Arial" w:hAnsi="Arial" w:cs="Arial"/>
        </w:rPr>
        <w:t xml:space="preserve"> pager</w:t>
      </w:r>
      <w:r w:rsidR="001F18D4">
        <w:rPr>
          <w:rFonts w:ascii="Arial" w:hAnsi="Arial" w:cs="Arial"/>
        </w:rPr>
        <w:t xml:space="preserve"> system</w:t>
      </w:r>
      <w:r>
        <w:rPr>
          <w:rFonts w:ascii="Arial" w:hAnsi="Arial" w:cs="Arial"/>
        </w:rPr>
        <w:t xml:space="preserve"> and usually have a primary employment </w:t>
      </w:r>
      <w:r w:rsidR="00AB40F2">
        <w:rPr>
          <w:rFonts w:ascii="Arial" w:hAnsi="Arial" w:cs="Arial"/>
        </w:rPr>
        <w:t xml:space="preserve">as well as a </w:t>
      </w:r>
      <w:r w:rsidR="009A5E3A">
        <w:rPr>
          <w:rFonts w:ascii="Arial" w:hAnsi="Arial" w:cs="Arial"/>
        </w:rPr>
        <w:t>Retained Duty System (</w:t>
      </w:r>
      <w:r w:rsidR="00342637">
        <w:rPr>
          <w:rFonts w:ascii="Arial" w:hAnsi="Arial" w:cs="Arial"/>
        </w:rPr>
        <w:t>on-call</w:t>
      </w:r>
      <w:r w:rsidR="009A5E3A">
        <w:rPr>
          <w:rFonts w:ascii="Arial" w:hAnsi="Arial" w:cs="Arial"/>
        </w:rPr>
        <w:t>)</w:t>
      </w:r>
      <w:r w:rsidR="00AB40F2">
        <w:rPr>
          <w:rFonts w:ascii="Arial" w:hAnsi="Arial" w:cs="Arial"/>
        </w:rPr>
        <w:t xml:space="preserve"> contract. This staff group equa</w:t>
      </w:r>
      <w:r w:rsidR="00AF3BE9">
        <w:rPr>
          <w:rFonts w:ascii="Arial" w:hAnsi="Arial" w:cs="Arial"/>
        </w:rPr>
        <w:t xml:space="preserve">tes to </w:t>
      </w:r>
      <w:r w:rsidR="00342637">
        <w:rPr>
          <w:rFonts w:ascii="Arial" w:hAnsi="Arial" w:cs="Arial"/>
        </w:rPr>
        <w:t>47.29</w:t>
      </w:r>
      <w:r w:rsidR="00AF3BE9">
        <w:rPr>
          <w:rFonts w:ascii="Arial" w:hAnsi="Arial" w:cs="Arial"/>
        </w:rPr>
        <w:t>% of the total workforce, and are placed larg</w:t>
      </w:r>
      <w:r w:rsidR="00DA6E5C">
        <w:rPr>
          <w:rFonts w:ascii="Arial" w:hAnsi="Arial" w:cs="Arial"/>
        </w:rPr>
        <w:t>e</w:t>
      </w:r>
      <w:r w:rsidR="00AF3BE9">
        <w:rPr>
          <w:rFonts w:ascii="Arial" w:hAnsi="Arial" w:cs="Arial"/>
        </w:rPr>
        <w:t>ly in the mid and lower quartiles.</w:t>
      </w:r>
      <w:r w:rsidR="00342637">
        <w:rPr>
          <w:rFonts w:ascii="Arial" w:hAnsi="Arial" w:cs="Arial"/>
        </w:rPr>
        <w:t xml:space="preserve">  Women make up 3.06% of the Service’s on-call firefighters.</w:t>
      </w:r>
    </w:p>
    <w:p w:rsidR="002B7FFE" w:rsidRDefault="002B7FFE" w:rsidP="002B7FFE">
      <w:pPr>
        <w:spacing w:after="0" w:line="240" w:lineRule="auto"/>
        <w:jc w:val="both"/>
        <w:rPr>
          <w:rFonts w:ascii="Arial" w:hAnsi="Arial" w:cs="Arial"/>
        </w:rPr>
      </w:pPr>
    </w:p>
    <w:p w:rsidR="00342637" w:rsidRPr="001F18D4" w:rsidRDefault="00342637" w:rsidP="00342637">
      <w:pPr>
        <w:spacing w:after="0" w:line="240" w:lineRule="auto"/>
        <w:jc w:val="both"/>
        <w:rPr>
          <w:rFonts w:ascii="Arial" w:hAnsi="Arial" w:cs="Arial"/>
        </w:rPr>
      </w:pPr>
      <w:r w:rsidRPr="001F18D4">
        <w:rPr>
          <w:rFonts w:ascii="Arial" w:hAnsi="Arial" w:cs="Arial"/>
        </w:rPr>
        <w:t xml:space="preserve">The Service has </w:t>
      </w:r>
      <w:r>
        <w:rPr>
          <w:rFonts w:ascii="Arial" w:hAnsi="Arial" w:cs="Arial"/>
        </w:rPr>
        <w:t xml:space="preserve">rolling </w:t>
      </w:r>
      <w:r w:rsidRPr="001F18D4">
        <w:rPr>
          <w:rFonts w:ascii="Arial" w:hAnsi="Arial" w:cs="Arial"/>
        </w:rPr>
        <w:t>recruit</w:t>
      </w:r>
      <w:r>
        <w:rPr>
          <w:rFonts w:ascii="Arial" w:hAnsi="Arial" w:cs="Arial"/>
        </w:rPr>
        <w:t xml:space="preserve">ment for on-call staff employed under the </w:t>
      </w:r>
      <w:r w:rsidRPr="001F18D4">
        <w:rPr>
          <w:rFonts w:ascii="Arial" w:hAnsi="Arial" w:cs="Arial"/>
        </w:rPr>
        <w:t>R</w:t>
      </w:r>
      <w:r>
        <w:rPr>
          <w:rFonts w:ascii="Arial" w:hAnsi="Arial" w:cs="Arial"/>
        </w:rPr>
        <w:t xml:space="preserve">etained </w:t>
      </w:r>
      <w:r w:rsidRPr="001F18D4">
        <w:rPr>
          <w:rFonts w:ascii="Arial" w:hAnsi="Arial" w:cs="Arial"/>
        </w:rPr>
        <w:t>D</w:t>
      </w:r>
      <w:r>
        <w:rPr>
          <w:rFonts w:ascii="Arial" w:hAnsi="Arial" w:cs="Arial"/>
        </w:rPr>
        <w:t xml:space="preserve">uty </w:t>
      </w:r>
      <w:r w:rsidRPr="001F18D4">
        <w:rPr>
          <w:rFonts w:ascii="Arial" w:hAnsi="Arial" w:cs="Arial"/>
        </w:rPr>
        <w:t>S</w:t>
      </w:r>
      <w:r>
        <w:rPr>
          <w:rFonts w:ascii="Arial" w:hAnsi="Arial" w:cs="Arial"/>
        </w:rPr>
        <w:t xml:space="preserve">ystem </w:t>
      </w:r>
      <w:r w:rsidRPr="001F18D4">
        <w:rPr>
          <w:rFonts w:ascii="Arial" w:hAnsi="Arial" w:cs="Arial"/>
        </w:rPr>
        <w:t>terms and conditions</w:t>
      </w:r>
      <w:r>
        <w:rPr>
          <w:rFonts w:ascii="Arial" w:hAnsi="Arial" w:cs="Arial"/>
        </w:rPr>
        <w:t xml:space="preserve"> however</w:t>
      </w:r>
      <w:r w:rsidR="005E70BD">
        <w:rPr>
          <w:rFonts w:ascii="Arial" w:hAnsi="Arial" w:cs="Arial"/>
        </w:rPr>
        <w:t>,</w:t>
      </w:r>
      <w:r w:rsidRPr="001F18D4">
        <w:rPr>
          <w:rFonts w:ascii="Arial" w:hAnsi="Arial" w:cs="Arial"/>
        </w:rPr>
        <w:t xml:space="preserve"> </w:t>
      </w:r>
      <w:r w:rsidR="00185EB1">
        <w:rPr>
          <w:rFonts w:ascii="Arial" w:hAnsi="Arial" w:cs="Arial"/>
        </w:rPr>
        <w:t xml:space="preserve">as </w:t>
      </w:r>
      <w:r w:rsidRPr="001F18D4">
        <w:rPr>
          <w:rFonts w:ascii="Arial" w:hAnsi="Arial" w:cs="Arial"/>
        </w:rPr>
        <w:t>this staff group i</w:t>
      </w:r>
      <w:r w:rsidR="00185EB1">
        <w:rPr>
          <w:rFonts w:ascii="Arial" w:hAnsi="Arial" w:cs="Arial"/>
        </w:rPr>
        <w:t xml:space="preserve">s </w:t>
      </w:r>
      <w:r w:rsidRPr="001F18D4">
        <w:rPr>
          <w:rFonts w:ascii="Arial" w:hAnsi="Arial" w:cs="Arial"/>
        </w:rPr>
        <w:t>constrained by locality to the fire station</w:t>
      </w:r>
      <w:r w:rsidR="00185EB1">
        <w:rPr>
          <w:rFonts w:ascii="Arial" w:hAnsi="Arial" w:cs="Arial"/>
        </w:rPr>
        <w:t xml:space="preserve">, </w:t>
      </w:r>
      <w:r>
        <w:rPr>
          <w:rFonts w:ascii="Arial" w:hAnsi="Arial" w:cs="Arial"/>
        </w:rPr>
        <w:t xml:space="preserve">the </w:t>
      </w:r>
      <w:r w:rsidRPr="001F18D4">
        <w:rPr>
          <w:rFonts w:ascii="Arial" w:hAnsi="Arial" w:cs="Arial"/>
        </w:rPr>
        <w:t>recruitment pool for this group is often limited</w:t>
      </w:r>
      <w:r>
        <w:rPr>
          <w:rFonts w:ascii="Arial" w:hAnsi="Arial" w:cs="Arial"/>
        </w:rPr>
        <w:t>.</w:t>
      </w:r>
      <w:r w:rsidRPr="001F18D4">
        <w:rPr>
          <w:rFonts w:ascii="Arial" w:hAnsi="Arial" w:cs="Arial"/>
        </w:rPr>
        <w:t xml:space="preserve">  </w:t>
      </w:r>
    </w:p>
    <w:p w:rsidR="008F5972" w:rsidRDefault="008F5972" w:rsidP="002B7FFE">
      <w:pPr>
        <w:spacing w:after="0" w:line="240" w:lineRule="auto"/>
        <w:jc w:val="both"/>
        <w:rPr>
          <w:rFonts w:ascii="Arial" w:hAnsi="Arial" w:cs="Arial"/>
        </w:rPr>
      </w:pPr>
    </w:p>
    <w:p w:rsidR="00745339" w:rsidRPr="00745339" w:rsidRDefault="00745339" w:rsidP="00745339">
      <w:pPr>
        <w:spacing w:after="0" w:line="240" w:lineRule="auto"/>
        <w:rPr>
          <w:rFonts w:ascii="Century Gothic" w:eastAsia="Times New Roman" w:hAnsi="Century Gothic" w:cs="Times New Roman"/>
          <w:b/>
          <w:bCs/>
          <w:sz w:val="32"/>
          <w:szCs w:val="32"/>
          <w:lang w:eastAsia="en-GB"/>
        </w:rPr>
      </w:pPr>
      <w:r w:rsidRPr="00745339">
        <w:rPr>
          <w:rFonts w:ascii="Arial" w:eastAsia="Times New Roman" w:hAnsi="Arial" w:cs="Arial"/>
          <w:b/>
          <w:bCs/>
          <w:u w:val="single"/>
          <w:lang w:eastAsia="en-GB"/>
        </w:rPr>
        <w:t>Bonus Payments</w:t>
      </w:r>
    </w:p>
    <w:p w:rsidR="007D5729" w:rsidRDefault="00745339" w:rsidP="007D5729">
      <w:pPr>
        <w:spacing w:after="0" w:line="240" w:lineRule="auto"/>
        <w:rPr>
          <w:rFonts w:ascii="Arial" w:eastAsia="Times New Roman" w:hAnsi="Arial" w:cs="Arial"/>
          <w:color w:val="000000"/>
          <w:lang w:eastAsia="en-GB"/>
        </w:rPr>
      </w:pPr>
      <w:r w:rsidRPr="00745339">
        <w:rPr>
          <w:rFonts w:ascii="Century Gothic" w:eastAsia="Times New Roman" w:hAnsi="Century Gothic" w:cs="Times New Roman"/>
          <w:b/>
          <w:bCs/>
          <w:color w:val="23335F"/>
          <w:sz w:val="32"/>
          <w:szCs w:val="32"/>
          <w:lang w:eastAsia="en-GB"/>
        </w:rPr>
        <w:br/>
      </w:r>
      <w:r w:rsidR="007D5729">
        <w:rPr>
          <w:rFonts w:ascii="Arial" w:eastAsia="Times New Roman" w:hAnsi="Arial" w:cs="Arial"/>
          <w:color w:val="000000"/>
          <w:lang w:eastAsia="en-GB"/>
        </w:rPr>
        <w:t>The only payment</w:t>
      </w:r>
      <w:r w:rsidR="00AD4B17">
        <w:rPr>
          <w:rFonts w:ascii="Arial" w:eastAsia="Times New Roman" w:hAnsi="Arial" w:cs="Arial"/>
          <w:color w:val="000000"/>
          <w:lang w:eastAsia="en-GB"/>
        </w:rPr>
        <w:t xml:space="preserve">s made to NYFRS employees that </w:t>
      </w:r>
      <w:r w:rsidR="007D5729">
        <w:rPr>
          <w:rFonts w:ascii="Arial" w:eastAsia="Times New Roman" w:hAnsi="Arial" w:cs="Arial"/>
          <w:color w:val="000000"/>
          <w:lang w:eastAsia="en-GB"/>
        </w:rPr>
        <w:t xml:space="preserve">meet the definition of bonus pay </w:t>
      </w:r>
      <w:r w:rsidR="00AD4B17">
        <w:rPr>
          <w:rFonts w:ascii="Arial" w:eastAsia="Times New Roman" w:hAnsi="Arial" w:cs="Arial"/>
          <w:color w:val="000000"/>
          <w:lang w:eastAsia="en-GB"/>
        </w:rPr>
        <w:t>i</w:t>
      </w:r>
      <w:r w:rsidR="007D5729">
        <w:rPr>
          <w:rFonts w:ascii="Arial" w:eastAsia="Times New Roman" w:hAnsi="Arial" w:cs="Arial"/>
          <w:color w:val="000000"/>
          <w:lang w:eastAsia="en-GB"/>
        </w:rPr>
        <w:t>n the regulations are those made under  the Continual Professional Development (CPD) scheme for uniformed Firefighters.</w:t>
      </w:r>
    </w:p>
    <w:p w:rsidR="00AD4B17" w:rsidRDefault="00AD4B17" w:rsidP="007D5729">
      <w:pPr>
        <w:spacing w:after="0" w:line="240" w:lineRule="auto"/>
        <w:rPr>
          <w:rFonts w:ascii="Arial" w:eastAsia="Times New Roman" w:hAnsi="Arial" w:cs="Arial"/>
          <w:color w:val="000000"/>
          <w:lang w:eastAsia="en-GB"/>
        </w:rPr>
      </w:pPr>
    </w:p>
    <w:p w:rsidR="000702D8" w:rsidRDefault="007D5729" w:rsidP="000702D8">
      <w:pPr>
        <w:spacing w:after="0" w:line="240" w:lineRule="auto"/>
        <w:rPr>
          <w:rFonts w:ascii="Arial" w:hAnsi="Arial" w:cs="Arial"/>
        </w:rPr>
      </w:pPr>
      <w:r>
        <w:rPr>
          <w:rFonts w:ascii="Arial" w:eastAsia="Times New Roman" w:hAnsi="Arial" w:cs="Arial"/>
          <w:color w:val="000000"/>
          <w:lang w:eastAsia="en-GB"/>
        </w:rPr>
        <w:t xml:space="preserve">This scheme is designed to recognise and reward experienced employees who demonstrate continual professional development over and above that required at competent level by the national occupational standards.  Successful applicants are awarded a set annual figure which is determined each year by the national joint council on local authority fire and rescue services. </w:t>
      </w:r>
    </w:p>
    <w:p w:rsidR="000702D8" w:rsidRDefault="000702D8" w:rsidP="000702D8">
      <w:pPr>
        <w:spacing w:after="0" w:line="240" w:lineRule="auto"/>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0702D8" w:rsidRPr="00730D69" w:rsidTr="00CE79D8">
        <w:trPr>
          <w:trHeight w:val="285"/>
        </w:trPr>
        <w:tc>
          <w:tcPr>
            <w:tcW w:w="9214" w:type="dxa"/>
            <w:gridSpan w:val="2"/>
            <w:shd w:val="clear" w:color="auto" w:fill="00B0F0"/>
            <w:noWrap/>
            <w:vAlign w:val="bottom"/>
            <w:hideMark/>
          </w:tcPr>
          <w:p w:rsidR="000702D8" w:rsidRPr="00730D69" w:rsidRDefault="000702D8" w:rsidP="00CE79D8">
            <w:pPr>
              <w:spacing w:after="0" w:line="240" w:lineRule="auto"/>
              <w:rPr>
                <w:rFonts w:ascii="Arial" w:eastAsia="Times New Roman" w:hAnsi="Arial" w:cs="Arial"/>
                <w:b/>
                <w:color w:val="000000"/>
                <w:lang w:eastAsia="en-GB"/>
              </w:rPr>
            </w:pPr>
            <w:r w:rsidRPr="00730D69">
              <w:rPr>
                <w:rFonts w:ascii="Arial" w:hAnsi="Arial" w:cs="Arial"/>
                <w:b/>
              </w:rPr>
              <w:t>Proportion of Staff Receiving</w:t>
            </w:r>
            <w:r w:rsidR="00DA06A0" w:rsidRPr="00730D69">
              <w:rPr>
                <w:rFonts w:ascii="Arial" w:hAnsi="Arial" w:cs="Arial"/>
                <w:b/>
              </w:rPr>
              <w:t xml:space="preserve"> a</w:t>
            </w:r>
            <w:r w:rsidRPr="00730D69">
              <w:rPr>
                <w:rFonts w:ascii="Arial" w:hAnsi="Arial" w:cs="Arial"/>
                <w:b/>
              </w:rPr>
              <w:t xml:space="preserve"> Bonus Payment</w:t>
            </w:r>
          </w:p>
        </w:tc>
      </w:tr>
      <w:tr w:rsidR="000702D8" w:rsidRPr="00730D69" w:rsidTr="00B73F83">
        <w:trPr>
          <w:trHeight w:val="285"/>
        </w:trPr>
        <w:tc>
          <w:tcPr>
            <w:tcW w:w="3686" w:type="dxa"/>
            <w:shd w:val="clear" w:color="auto" w:fill="C6D9F1" w:themeFill="text2" w:themeFillTint="33"/>
            <w:noWrap/>
            <w:vAlign w:val="bottom"/>
            <w:hideMark/>
          </w:tcPr>
          <w:p w:rsidR="000702D8" w:rsidRPr="00730D69" w:rsidRDefault="00DA06A0" w:rsidP="00DA06A0">
            <w:pPr>
              <w:spacing w:after="0" w:line="240" w:lineRule="auto"/>
              <w:rPr>
                <w:rFonts w:ascii="Arial" w:eastAsia="Times New Roman" w:hAnsi="Arial" w:cs="Arial"/>
                <w:b/>
                <w:color w:val="000000"/>
                <w:lang w:eastAsia="en-GB"/>
              </w:rPr>
            </w:pPr>
            <w:r w:rsidRPr="00730D69">
              <w:rPr>
                <w:rFonts w:ascii="Arial" w:eastAsia="Times New Roman" w:hAnsi="Arial" w:cs="Arial"/>
                <w:b/>
                <w:color w:val="000000"/>
                <w:lang w:eastAsia="en-GB"/>
              </w:rPr>
              <w:t>Male</w:t>
            </w:r>
          </w:p>
        </w:tc>
        <w:tc>
          <w:tcPr>
            <w:tcW w:w="5528" w:type="dxa"/>
            <w:shd w:val="clear" w:color="auto" w:fill="C6D9F1" w:themeFill="text2" w:themeFillTint="33"/>
            <w:noWrap/>
            <w:hideMark/>
          </w:tcPr>
          <w:p w:rsidR="0069015A" w:rsidRPr="00730D69" w:rsidRDefault="0069015A" w:rsidP="00004DC8">
            <w:pPr>
              <w:tabs>
                <w:tab w:val="left" w:pos="888"/>
              </w:tabs>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40.12%</w:t>
            </w:r>
          </w:p>
        </w:tc>
      </w:tr>
      <w:tr w:rsidR="000702D8" w:rsidRPr="00730D69" w:rsidTr="00B73F83">
        <w:trPr>
          <w:trHeight w:val="285"/>
        </w:trPr>
        <w:tc>
          <w:tcPr>
            <w:tcW w:w="3686" w:type="dxa"/>
            <w:shd w:val="clear" w:color="auto" w:fill="8DB3E2" w:themeFill="text2" w:themeFillTint="66"/>
            <w:noWrap/>
            <w:vAlign w:val="bottom"/>
            <w:hideMark/>
          </w:tcPr>
          <w:p w:rsidR="000702D8" w:rsidRPr="00730D69" w:rsidRDefault="00DA06A0" w:rsidP="00CE79D8">
            <w:pPr>
              <w:spacing w:after="0" w:line="240" w:lineRule="auto"/>
              <w:rPr>
                <w:rFonts w:ascii="Arial" w:eastAsia="Times New Roman" w:hAnsi="Arial" w:cs="Arial"/>
                <w:b/>
                <w:color w:val="000000"/>
                <w:lang w:eastAsia="en-GB"/>
              </w:rPr>
            </w:pPr>
            <w:r w:rsidRPr="00730D69">
              <w:rPr>
                <w:rFonts w:ascii="Arial" w:eastAsia="Times New Roman" w:hAnsi="Arial" w:cs="Arial"/>
                <w:b/>
                <w:color w:val="000000"/>
                <w:lang w:eastAsia="en-GB"/>
              </w:rPr>
              <w:t>Female</w:t>
            </w:r>
          </w:p>
        </w:tc>
        <w:tc>
          <w:tcPr>
            <w:tcW w:w="5528" w:type="dxa"/>
            <w:shd w:val="clear" w:color="auto" w:fill="8DB3E2" w:themeFill="text2" w:themeFillTint="66"/>
            <w:noWrap/>
            <w:hideMark/>
          </w:tcPr>
          <w:p w:rsidR="000702D8" w:rsidRPr="00730D69" w:rsidRDefault="0069015A" w:rsidP="00CE79D8">
            <w:pPr>
              <w:spacing w:after="0" w:line="240" w:lineRule="auto"/>
              <w:rPr>
                <w:rFonts w:ascii="Arial" w:eastAsia="Times New Roman" w:hAnsi="Arial" w:cs="Arial"/>
                <w:color w:val="000000"/>
                <w:lang w:eastAsia="en-GB"/>
              </w:rPr>
            </w:pPr>
            <w:r>
              <w:rPr>
                <w:rFonts w:ascii="Arial" w:hAnsi="Arial" w:cs="Arial"/>
              </w:rPr>
              <w:t>16.48%</w:t>
            </w:r>
          </w:p>
        </w:tc>
      </w:tr>
    </w:tbl>
    <w:p w:rsidR="000702D8" w:rsidRPr="00730D69" w:rsidRDefault="000702D8" w:rsidP="00C10D7F">
      <w:pPr>
        <w:spacing w:after="0" w:line="240" w:lineRule="auto"/>
        <w:jc w:val="both"/>
        <w:rPr>
          <w:rFonts w:ascii="Arial" w:hAnsi="Arial" w:cs="Arial"/>
          <w:highlight w:val="yellow"/>
        </w:rPr>
      </w:pPr>
    </w:p>
    <w:p w:rsidR="000702D8" w:rsidRPr="00730D69" w:rsidRDefault="000702D8" w:rsidP="00C10D7F">
      <w:pPr>
        <w:spacing w:after="0" w:line="240" w:lineRule="auto"/>
        <w:jc w:val="both"/>
        <w:rPr>
          <w:rFonts w:ascii="Arial" w:hAnsi="Arial" w:cs="Arial"/>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C10D7F" w:rsidRPr="00730D69" w:rsidTr="00C10D7F">
        <w:trPr>
          <w:trHeight w:val="285"/>
        </w:trPr>
        <w:tc>
          <w:tcPr>
            <w:tcW w:w="9214" w:type="dxa"/>
            <w:gridSpan w:val="2"/>
            <w:shd w:val="clear" w:color="auto" w:fill="00B0F0"/>
            <w:noWrap/>
            <w:vAlign w:val="bottom"/>
            <w:hideMark/>
          </w:tcPr>
          <w:p w:rsidR="00C10D7F" w:rsidRPr="00730D69" w:rsidRDefault="00C10D7F" w:rsidP="00C10D7F">
            <w:pPr>
              <w:spacing w:after="0" w:line="240" w:lineRule="auto"/>
              <w:rPr>
                <w:rFonts w:ascii="Arial" w:eastAsia="Times New Roman" w:hAnsi="Arial" w:cs="Arial"/>
                <w:b/>
                <w:color w:val="000000"/>
                <w:lang w:eastAsia="en-GB"/>
              </w:rPr>
            </w:pPr>
            <w:r w:rsidRPr="00730D69">
              <w:rPr>
                <w:rFonts w:ascii="Arial" w:eastAsia="Times New Roman" w:hAnsi="Arial" w:cs="Arial"/>
                <w:b/>
                <w:color w:val="000000"/>
                <w:lang w:eastAsia="en-GB"/>
              </w:rPr>
              <w:t xml:space="preserve">Bonus Payment Gap </w:t>
            </w:r>
          </w:p>
        </w:tc>
      </w:tr>
      <w:tr w:rsidR="00C10D7F" w:rsidRPr="00730D69" w:rsidTr="000702D8">
        <w:trPr>
          <w:trHeight w:val="285"/>
        </w:trPr>
        <w:tc>
          <w:tcPr>
            <w:tcW w:w="3686" w:type="dxa"/>
            <w:shd w:val="clear" w:color="auto" w:fill="C6D9F1" w:themeFill="text2" w:themeFillTint="33"/>
            <w:noWrap/>
            <w:vAlign w:val="bottom"/>
            <w:hideMark/>
          </w:tcPr>
          <w:p w:rsidR="00C10D7F" w:rsidRPr="00730D69" w:rsidRDefault="00C10D7F" w:rsidP="00CE79D8">
            <w:pPr>
              <w:spacing w:after="0" w:line="240" w:lineRule="auto"/>
              <w:rPr>
                <w:rFonts w:ascii="Arial" w:eastAsia="Times New Roman" w:hAnsi="Arial" w:cs="Arial"/>
                <w:b/>
                <w:color w:val="000000"/>
                <w:lang w:eastAsia="en-GB"/>
              </w:rPr>
            </w:pPr>
            <w:r w:rsidRPr="00730D69">
              <w:rPr>
                <w:rFonts w:ascii="Arial" w:eastAsia="Times New Roman" w:hAnsi="Arial" w:cs="Arial"/>
                <w:b/>
                <w:color w:val="000000"/>
                <w:lang w:eastAsia="en-GB"/>
              </w:rPr>
              <w:t xml:space="preserve">Mean </w:t>
            </w:r>
            <w:r w:rsidR="000702D8" w:rsidRPr="00730D69">
              <w:rPr>
                <w:rFonts w:ascii="Arial" w:eastAsia="Times New Roman" w:hAnsi="Arial" w:cs="Arial"/>
                <w:b/>
                <w:color w:val="000000"/>
                <w:lang w:eastAsia="en-GB"/>
              </w:rPr>
              <w:t>Gap</w:t>
            </w:r>
          </w:p>
        </w:tc>
        <w:tc>
          <w:tcPr>
            <w:tcW w:w="5528" w:type="dxa"/>
            <w:shd w:val="clear" w:color="auto" w:fill="C6D9F1" w:themeFill="text2" w:themeFillTint="33"/>
            <w:noWrap/>
            <w:vAlign w:val="bottom"/>
            <w:hideMark/>
          </w:tcPr>
          <w:p w:rsidR="00C10D7F" w:rsidRPr="00730D69" w:rsidRDefault="0069015A" w:rsidP="00C10D7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-17.11%</w:t>
            </w:r>
          </w:p>
        </w:tc>
      </w:tr>
      <w:tr w:rsidR="00C10D7F" w:rsidRPr="000D6612" w:rsidTr="000702D8">
        <w:trPr>
          <w:trHeight w:val="285"/>
        </w:trPr>
        <w:tc>
          <w:tcPr>
            <w:tcW w:w="3686" w:type="dxa"/>
            <w:shd w:val="clear" w:color="auto" w:fill="8DB3E2" w:themeFill="text2" w:themeFillTint="66"/>
            <w:noWrap/>
            <w:vAlign w:val="bottom"/>
            <w:hideMark/>
          </w:tcPr>
          <w:p w:rsidR="00C10D7F" w:rsidRPr="00730D69" w:rsidRDefault="00C10D7F" w:rsidP="00CE79D8">
            <w:pPr>
              <w:spacing w:after="0" w:line="240" w:lineRule="auto"/>
              <w:rPr>
                <w:rFonts w:ascii="Arial" w:eastAsia="Times New Roman" w:hAnsi="Arial" w:cs="Arial"/>
                <w:b/>
                <w:color w:val="000000"/>
                <w:lang w:eastAsia="en-GB"/>
              </w:rPr>
            </w:pPr>
            <w:r w:rsidRPr="00730D69">
              <w:rPr>
                <w:rFonts w:ascii="Arial" w:eastAsia="Times New Roman" w:hAnsi="Arial" w:cs="Arial"/>
                <w:b/>
                <w:color w:val="000000"/>
                <w:lang w:eastAsia="en-GB"/>
              </w:rPr>
              <w:t>Median</w:t>
            </w:r>
            <w:r w:rsidR="000702D8" w:rsidRPr="00730D69">
              <w:rPr>
                <w:rFonts w:ascii="Arial" w:eastAsia="Times New Roman" w:hAnsi="Arial" w:cs="Arial"/>
                <w:b/>
                <w:color w:val="000000"/>
                <w:lang w:eastAsia="en-GB"/>
              </w:rPr>
              <w:t xml:space="preserve"> Gap</w:t>
            </w:r>
          </w:p>
        </w:tc>
        <w:tc>
          <w:tcPr>
            <w:tcW w:w="5528" w:type="dxa"/>
            <w:shd w:val="clear" w:color="auto" w:fill="8DB3E2" w:themeFill="text2" w:themeFillTint="66"/>
            <w:noWrap/>
            <w:vAlign w:val="bottom"/>
            <w:hideMark/>
          </w:tcPr>
          <w:p w:rsidR="00C10D7F" w:rsidRPr="00730D69" w:rsidRDefault="000702D8" w:rsidP="00CE79D8">
            <w:pPr>
              <w:spacing w:after="0" w:line="240" w:lineRule="auto"/>
              <w:rPr>
                <w:rFonts w:ascii="Arial" w:eastAsia="Times New Roman" w:hAnsi="Arial" w:cs="Arial"/>
                <w:color w:val="000000"/>
                <w:lang w:eastAsia="en-GB"/>
              </w:rPr>
            </w:pPr>
            <w:r w:rsidRPr="00730D69">
              <w:rPr>
                <w:rFonts w:ascii="Arial" w:eastAsia="Times New Roman" w:hAnsi="Arial" w:cs="Arial"/>
                <w:color w:val="000000"/>
                <w:lang w:eastAsia="en-GB"/>
              </w:rPr>
              <w:t>0%</w:t>
            </w:r>
          </w:p>
        </w:tc>
      </w:tr>
    </w:tbl>
    <w:p w:rsidR="00C10D7F" w:rsidRDefault="00C10D7F" w:rsidP="00C10D7F">
      <w:pPr>
        <w:spacing w:after="0" w:line="240" w:lineRule="auto"/>
        <w:jc w:val="both"/>
        <w:rPr>
          <w:rFonts w:ascii="Arial" w:hAnsi="Arial" w:cs="Arial"/>
        </w:rPr>
      </w:pPr>
    </w:p>
    <w:p w:rsidR="00C10D7F" w:rsidRDefault="00C10D7F" w:rsidP="00C10D7F">
      <w:pPr>
        <w:spacing w:after="0" w:line="240" w:lineRule="auto"/>
        <w:rPr>
          <w:rFonts w:ascii="Arial" w:eastAsia="Times New Roman" w:hAnsi="Arial" w:cs="Arial"/>
          <w:color w:val="000000"/>
          <w:lang w:eastAsia="en-GB"/>
        </w:rPr>
      </w:pPr>
    </w:p>
    <w:p w:rsidR="00AD4B17" w:rsidRDefault="0069015A" w:rsidP="000702D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bonus pay gap is -17.11% at the mean and 0% at the median which presents a mixed picture.  The reverse mean bonus pay gap is driven by a number of factors, including:</w:t>
      </w:r>
    </w:p>
    <w:p w:rsidR="0069015A" w:rsidRDefault="0069015A" w:rsidP="000702D8">
      <w:pPr>
        <w:spacing w:after="0" w:line="240" w:lineRule="auto"/>
        <w:rPr>
          <w:rFonts w:ascii="Arial" w:eastAsia="Times New Roman" w:hAnsi="Arial" w:cs="Arial"/>
          <w:b/>
          <w:u w:val="single"/>
          <w:lang w:eastAsia="en-GB"/>
        </w:rPr>
      </w:pPr>
    </w:p>
    <w:p w:rsidR="0047594D" w:rsidRPr="00004DC8" w:rsidRDefault="005E70BD" w:rsidP="0047594D">
      <w:pPr>
        <w:pStyle w:val="ListParagraph"/>
        <w:numPr>
          <w:ilvl w:val="0"/>
          <w:numId w:val="11"/>
        </w:numPr>
        <w:spacing w:after="0" w:line="240" w:lineRule="auto"/>
        <w:rPr>
          <w:rFonts w:ascii="Arial" w:eastAsia="Times New Roman" w:hAnsi="Arial" w:cs="Arial"/>
          <w:b/>
          <w:u w:val="single"/>
          <w:lang w:eastAsia="en-GB"/>
        </w:rPr>
      </w:pPr>
      <w:r>
        <w:rPr>
          <w:rFonts w:ascii="Arial" w:eastAsia="Times New Roman" w:hAnsi="Arial" w:cs="Arial"/>
          <w:lang w:eastAsia="en-GB"/>
        </w:rPr>
        <w:t>t</w:t>
      </w:r>
      <w:r w:rsidR="0047594D">
        <w:rPr>
          <w:rFonts w:ascii="Arial" w:eastAsia="Times New Roman" w:hAnsi="Arial" w:cs="Arial"/>
          <w:lang w:eastAsia="en-GB"/>
        </w:rPr>
        <w:t>here are only 15 women who received CPD payments during the twelve month period ending with the snapshot date.  All were wholetime or full-time members of control staff</w:t>
      </w:r>
      <w:r>
        <w:rPr>
          <w:rFonts w:ascii="Arial" w:eastAsia="Times New Roman" w:hAnsi="Arial" w:cs="Arial"/>
          <w:lang w:eastAsia="en-GB"/>
        </w:rPr>
        <w:t xml:space="preserve">; </w:t>
      </w:r>
    </w:p>
    <w:p w:rsidR="0047594D" w:rsidRDefault="0047594D" w:rsidP="0047594D">
      <w:pPr>
        <w:pStyle w:val="ListParagraph"/>
        <w:spacing w:after="0" w:line="240" w:lineRule="auto"/>
        <w:rPr>
          <w:rFonts w:ascii="Arial" w:eastAsia="Times New Roman" w:hAnsi="Arial" w:cs="Arial"/>
          <w:b/>
          <w:u w:val="single"/>
          <w:lang w:eastAsia="en-GB"/>
        </w:rPr>
      </w:pPr>
    </w:p>
    <w:p w:rsidR="0047594D" w:rsidRPr="00004DC8" w:rsidRDefault="0047594D" w:rsidP="008216DA">
      <w:pPr>
        <w:pStyle w:val="ListParagraph"/>
        <w:numPr>
          <w:ilvl w:val="0"/>
          <w:numId w:val="11"/>
        </w:numPr>
        <w:spacing w:after="0" w:line="240" w:lineRule="auto"/>
        <w:rPr>
          <w:rFonts w:ascii="Arial" w:eastAsia="Times New Roman" w:hAnsi="Arial" w:cs="Arial"/>
          <w:b/>
          <w:u w:val="single"/>
          <w:lang w:eastAsia="en-GB"/>
        </w:rPr>
      </w:pPr>
      <w:r w:rsidRPr="00004DC8">
        <w:rPr>
          <w:rFonts w:ascii="Arial" w:eastAsia="Times New Roman" w:hAnsi="Arial" w:cs="Arial"/>
          <w:lang w:eastAsia="en-GB"/>
        </w:rPr>
        <w:t>268 men received CPD payments during the twelve month period ending with the snapshot date.  Of the</w:t>
      </w:r>
      <w:r w:rsidR="0002143D">
        <w:rPr>
          <w:rFonts w:ascii="Arial" w:eastAsia="Times New Roman" w:hAnsi="Arial" w:cs="Arial"/>
          <w:lang w:eastAsia="en-GB"/>
        </w:rPr>
        <w:t>se</w:t>
      </w:r>
      <w:r w:rsidRPr="00004DC8">
        <w:rPr>
          <w:rFonts w:ascii="Arial" w:eastAsia="Times New Roman" w:hAnsi="Arial" w:cs="Arial"/>
          <w:lang w:eastAsia="en-GB"/>
        </w:rPr>
        <w:t xml:space="preserve"> 268</w:t>
      </w:r>
      <w:r>
        <w:rPr>
          <w:rFonts w:ascii="Arial" w:eastAsia="Times New Roman" w:hAnsi="Arial" w:cs="Arial"/>
          <w:lang w:eastAsia="en-GB"/>
        </w:rPr>
        <w:t xml:space="preserve"> men who received CPD payments</w:t>
      </w:r>
      <w:r w:rsidRPr="00004DC8">
        <w:rPr>
          <w:rFonts w:ascii="Arial" w:eastAsia="Times New Roman" w:hAnsi="Arial" w:cs="Arial"/>
          <w:lang w:eastAsia="en-GB"/>
        </w:rPr>
        <w:t>, 50 are on-call firefighters who receive one quarter of the set annual CPD amount applicable to wholetime firefighting staff</w:t>
      </w:r>
      <w:r w:rsidR="00185EB1">
        <w:rPr>
          <w:rFonts w:ascii="Arial" w:eastAsia="Times New Roman" w:hAnsi="Arial" w:cs="Arial"/>
          <w:lang w:eastAsia="en-GB"/>
        </w:rPr>
        <w:t xml:space="preserve"> and thus reduce the mean average.</w:t>
      </w:r>
    </w:p>
    <w:p w:rsidR="007F6CD3" w:rsidRPr="00B04B99" w:rsidRDefault="00185EB1" w:rsidP="0081414E">
      <w:pPr>
        <w:spacing w:before="100" w:beforeAutospacing="1" w:after="100" w:afterAutospacing="1" w:line="240" w:lineRule="auto"/>
        <w:rPr>
          <w:rFonts w:ascii="Arial" w:eastAsia="Times New Roman" w:hAnsi="Arial" w:cs="Arial"/>
          <w:b/>
          <w:u w:val="single"/>
          <w:lang w:val="en" w:eastAsia="en-GB"/>
        </w:rPr>
      </w:pPr>
      <w:r>
        <w:rPr>
          <w:rFonts w:ascii="Arial" w:eastAsia="Times New Roman" w:hAnsi="Arial" w:cs="Arial"/>
          <w:b/>
          <w:u w:val="single"/>
          <w:lang w:val="en" w:eastAsia="en-GB"/>
        </w:rPr>
        <w:t>C</w:t>
      </w:r>
      <w:r w:rsidR="003762ED">
        <w:rPr>
          <w:rFonts w:ascii="Arial" w:eastAsia="Times New Roman" w:hAnsi="Arial" w:cs="Arial"/>
          <w:b/>
          <w:u w:val="single"/>
          <w:lang w:val="en" w:eastAsia="en-GB"/>
        </w:rPr>
        <w:t>onclusion</w:t>
      </w:r>
    </w:p>
    <w:p w:rsidR="00DA58A8" w:rsidRPr="00C523CE" w:rsidRDefault="00B0017A" w:rsidP="00EC2E79">
      <w:pPr>
        <w:spacing w:after="0" w:line="240" w:lineRule="auto"/>
        <w:jc w:val="both"/>
        <w:rPr>
          <w:rFonts w:ascii="Arial" w:eastAsia="Times New Roman" w:hAnsi="Arial" w:cs="Arial"/>
          <w:b/>
          <w:lang w:val="en" w:eastAsia="en-GB"/>
        </w:rPr>
      </w:pPr>
      <w:r w:rsidRPr="003762ED">
        <w:rPr>
          <w:rFonts w:ascii="Arial" w:eastAsia="Times New Roman" w:hAnsi="Arial" w:cs="Arial"/>
          <w:lang w:val="en" w:eastAsia="en-GB"/>
        </w:rPr>
        <w:t>North Yo</w:t>
      </w:r>
      <w:r w:rsidR="00C523CE">
        <w:rPr>
          <w:rFonts w:ascii="Arial" w:eastAsia="Times New Roman" w:hAnsi="Arial" w:cs="Arial"/>
          <w:lang w:val="en" w:eastAsia="en-GB"/>
        </w:rPr>
        <w:t>rkshire Fire and Rescue Service’s mean</w:t>
      </w:r>
      <w:r w:rsidRPr="003762ED">
        <w:rPr>
          <w:rFonts w:ascii="Arial" w:eastAsia="Times New Roman" w:hAnsi="Arial" w:cs="Arial"/>
          <w:lang w:val="en" w:eastAsia="en-GB"/>
        </w:rPr>
        <w:t xml:space="preserve"> </w:t>
      </w:r>
      <w:r w:rsidR="00C523CE">
        <w:rPr>
          <w:rFonts w:ascii="Arial" w:eastAsia="Times New Roman" w:hAnsi="Arial" w:cs="Arial"/>
          <w:lang w:val="en" w:eastAsia="en-GB"/>
        </w:rPr>
        <w:t>gender p</w:t>
      </w:r>
      <w:r w:rsidR="00746CA9" w:rsidRPr="003762ED">
        <w:rPr>
          <w:rFonts w:ascii="Arial" w:eastAsia="Times New Roman" w:hAnsi="Arial" w:cs="Arial"/>
          <w:lang w:val="en" w:eastAsia="en-GB"/>
        </w:rPr>
        <w:t xml:space="preserve">ay gap is </w:t>
      </w:r>
      <w:r w:rsidRPr="003762ED">
        <w:rPr>
          <w:rFonts w:ascii="Arial" w:eastAsia="Times New Roman" w:hAnsi="Arial" w:cs="Arial"/>
          <w:lang w:val="en" w:eastAsia="en-GB"/>
        </w:rPr>
        <w:t>10.</w:t>
      </w:r>
      <w:r w:rsidR="005E70BD">
        <w:rPr>
          <w:rFonts w:ascii="Arial" w:eastAsia="Times New Roman" w:hAnsi="Arial" w:cs="Arial"/>
          <w:lang w:val="en" w:eastAsia="en-GB"/>
        </w:rPr>
        <w:t>22</w:t>
      </w:r>
      <w:r w:rsidR="00746CA9" w:rsidRPr="003762ED">
        <w:rPr>
          <w:rFonts w:ascii="Arial" w:eastAsia="Times New Roman" w:hAnsi="Arial" w:cs="Arial"/>
          <w:lang w:val="en" w:eastAsia="en-GB"/>
        </w:rPr>
        <w:t>%</w:t>
      </w:r>
      <w:r w:rsidR="00B214F0" w:rsidRPr="003762ED">
        <w:rPr>
          <w:rFonts w:ascii="Arial" w:eastAsia="Times New Roman" w:hAnsi="Arial" w:cs="Arial"/>
          <w:lang w:val="en" w:eastAsia="en-GB"/>
        </w:rPr>
        <w:t xml:space="preserve">. </w:t>
      </w:r>
    </w:p>
    <w:p w:rsidR="00DA58A8" w:rsidRPr="003762ED" w:rsidRDefault="00DA58A8" w:rsidP="00EC2E79">
      <w:pPr>
        <w:spacing w:after="0" w:line="240" w:lineRule="auto"/>
        <w:jc w:val="both"/>
        <w:rPr>
          <w:rFonts w:ascii="Arial" w:eastAsia="Times New Roman" w:hAnsi="Arial" w:cs="Arial"/>
          <w:lang w:val="en" w:eastAsia="en-GB"/>
        </w:rPr>
      </w:pPr>
    </w:p>
    <w:p w:rsidR="00B214F0" w:rsidRPr="00C523CE" w:rsidRDefault="00F93A51" w:rsidP="00C523CE">
      <w:pPr>
        <w:spacing w:after="0" w:line="240" w:lineRule="auto"/>
        <w:jc w:val="both"/>
        <w:rPr>
          <w:rFonts w:ascii="Arial" w:eastAsia="Times New Roman" w:hAnsi="Arial" w:cs="Arial"/>
          <w:lang w:val="en" w:eastAsia="en-GB"/>
        </w:rPr>
      </w:pPr>
      <w:r w:rsidRPr="00C523CE">
        <w:rPr>
          <w:rFonts w:ascii="Arial" w:hAnsi="Arial" w:cs="Arial"/>
          <w:color w:val="000000"/>
        </w:rPr>
        <w:t>W</w:t>
      </w:r>
      <w:proofErr w:type="spellStart"/>
      <w:r w:rsidRPr="00C523CE">
        <w:rPr>
          <w:rFonts w:ascii="Arial" w:eastAsia="Times New Roman" w:hAnsi="Arial" w:cs="Arial"/>
          <w:lang w:val="en" w:eastAsia="en-GB"/>
        </w:rPr>
        <w:t>hilst</w:t>
      </w:r>
      <w:proofErr w:type="spellEnd"/>
      <w:r w:rsidR="00B214F0" w:rsidRPr="00C523CE">
        <w:rPr>
          <w:rFonts w:ascii="Arial" w:eastAsia="Times New Roman" w:hAnsi="Arial" w:cs="Arial"/>
          <w:lang w:val="en" w:eastAsia="en-GB"/>
        </w:rPr>
        <w:t xml:space="preserve"> the Service </w:t>
      </w:r>
      <w:r w:rsidRPr="00C523CE">
        <w:rPr>
          <w:rFonts w:ascii="Arial" w:eastAsia="Times New Roman" w:hAnsi="Arial" w:cs="Arial"/>
          <w:lang w:val="en" w:eastAsia="en-GB"/>
        </w:rPr>
        <w:t xml:space="preserve">continues to work on increasing the diversity within its workforce, </w:t>
      </w:r>
      <w:r w:rsidR="00B214F0" w:rsidRPr="00C523CE">
        <w:rPr>
          <w:rStyle w:val="fontstyle01"/>
          <w:rFonts w:ascii="Arial" w:hAnsi="Arial" w:cs="Arial"/>
        </w:rPr>
        <w:t xml:space="preserve">the proportion of male to female </w:t>
      </w:r>
      <w:r w:rsidRPr="00C523CE">
        <w:rPr>
          <w:rStyle w:val="fontstyle01"/>
          <w:rFonts w:ascii="Arial" w:hAnsi="Arial" w:cs="Arial"/>
        </w:rPr>
        <w:t xml:space="preserve">staff </w:t>
      </w:r>
      <w:r w:rsidR="00B214F0" w:rsidRPr="00C523CE">
        <w:rPr>
          <w:rStyle w:val="fontstyle01"/>
          <w:rFonts w:ascii="Arial" w:hAnsi="Arial" w:cs="Arial"/>
        </w:rPr>
        <w:t xml:space="preserve">members </w:t>
      </w:r>
      <w:r w:rsidR="003762ED" w:rsidRPr="00C523CE">
        <w:rPr>
          <w:rStyle w:val="fontstyle01"/>
          <w:rFonts w:ascii="Arial" w:hAnsi="Arial" w:cs="Arial"/>
        </w:rPr>
        <w:t>is</w:t>
      </w:r>
      <w:r w:rsidR="00B214F0" w:rsidRPr="00C523CE">
        <w:rPr>
          <w:rStyle w:val="fontstyle01"/>
          <w:rFonts w:ascii="Arial" w:hAnsi="Arial" w:cs="Arial"/>
        </w:rPr>
        <w:t xml:space="preserve"> </w:t>
      </w:r>
      <w:r w:rsidR="005E70BD" w:rsidRPr="00C523CE">
        <w:rPr>
          <w:rStyle w:val="fontstyle01"/>
          <w:rFonts w:ascii="Arial" w:hAnsi="Arial" w:cs="Arial"/>
        </w:rPr>
        <w:t>significantly</w:t>
      </w:r>
      <w:r w:rsidR="00B214F0" w:rsidRPr="00C523CE">
        <w:rPr>
          <w:rStyle w:val="fontstyle01"/>
          <w:rFonts w:ascii="Arial" w:hAnsi="Arial" w:cs="Arial"/>
        </w:rPr>
        <w:t xml:space="preserve"> higher.</w:t>
      </w:r>
      <w:r w:rsidR="00B214F0" w:rsidRPr="00C523CE">
        <w:rPr>
          <w:rFonts w:ascii="Arial" w:hAnsi="Arial" w:cs="Arial"/>
        </w:rPr>
        <w:t xml:space="preserve"> </w:t>
      </w:r>
      <w:r w:rsidR="00B214F0" w:rsidRPr="00C523CE">
        <w:rPr>
          <w:rFonts w:ascii="Arial" w:eastAsia="Times New Roman" w:hAnsi="Arial" w:cs="Arial"/>
          <w:lang w:val="en" w:eastAsia="en-GB"/>
        </w:rPr>
        <w:t xml:space="preserve"> </w:t>
      </w:r>
    </w:p>
    <w:p w:rsidR="00B214F0" w:rsidRPr="003762ED" w:rsidRDefault="00B214F0" w:rsidP="00B214F0">
      <w:pPr>
        <w:pStyle w:val="ListParagraph"/>
        <w:spacing w:after="0" w:line="240" w:lineRule="auto"/>
        <w:jc w:val="both"/>
        <w:rPr>
          <w:rFonts w:ascii="Arial" w:eastAsia="Times New Roman" w:hAnsi="Arial" w:cs="Arial"/>
          <w:lang w:val="en" w:eastAsia="en-GB"/>
        </w:rPr>
      </w:pPr>
    </w:p>
    <w:p w:rsidR="00B214F0" w:rsidRPr="00C523CE" w:rsidRDefault="00F93A51" w:rsidP="00C523CE">
      <w:pPr>
        <w:spacing w:after="0" w:line="240" w:lineRule="auto"/>
        <w:jc w:val="both"/>
        <w:rPr>
          <w:rFonts w:ascii="Arial" w:eastAsia="Times New Roman" w:hAnsi="Arial" w:cs="Arial"/>
          <w:lang w:val="en" w:eastAsia="en-GB"/>
        </w:rPr>
      </w:pPr>
      <w:r w:rsidRPr="00C523CE">
        <w:rPr>
          <w:rFonts w:ascii="Arial" w:eastAsia="Times New Roman" w:hAnsi="Arial" w:cs="Arial"/>
          <w:lang w:val="en" w:eastAsia="en-GB"/>
        </w:rPr>
        <w:t xml:space="preserve">The largest proportion of the workforce are ‘Grey Book’ members of staff. </w:t>
      </w:r>
      <w:r w:rsidR="00C523CE">
        <w:rPr>
          <w:rFonts w:ascii="Arial" w:eastAsia="Times New Roman" w:hAnsi="Arial" w:cs="Arial"/>
          <w:lang w:val="en" w:eastAsia="en-GB"/>
        </w:rPr>
        <w:t xml:space="preserve">  </w:t>
      </w:r>
      <w:r w:rsidRPr="00C523CE">
        <w:rPr>
          <w:rFonts w:ascii="Arial" w:eastAsia="Times New Roman" w:hAnsi="Arial" w:cs="Arial"/>
          <w:lang w:val="en" w:eastAsia="en-GB"/>
        </w:rPr>
        <w:t>In partic</w:t>
      </w:r>
      <w:r w:rsidR="00C523CE">
        <w:rPr>
          <w:rFonts w:ascii="Arial" w:eastAsia="Times New Roman" w:hAnsi="Arial" w:cs="Arial"/>
          <w:lang w:val="en" w:eastAsia="en-GB"/>
        </w:rPr>
        <w:t xml:space="preserve">ular there are a high number employed as </w:t>
      </w:r>
      <w:r w:rsidRPr="00C523CE">
        <w:rPr>
          <w:rFonts w:ascii="Arial" w:eastAsia="Times New Roman" w:hAnsi="Arial" w:cs="Arial"/>
          <w:lang w:val="en" w:eastAsia="en-GB"/>
        </w:rPr>
        <w:t xml:space="preserve">On-Call </w:t>
      </w:r>
      <w:r w:rsidR="00C523CE">
        <w:rPr>
          <w:rFonts w:ascii="Arial" w:eastAsia="Times New Roman" w:hAnsi="Arial" w:cs="Arial"/>
          <w:lang w:val="en" w:eastAsia="en-GB"/>
        </w:rPr>
        <w:t>firefighters</w:t>
      </w:r>
      <w:r w:rsidRPr="00C523CE">
        <w:rPr>
          <w:rFonts w:ascii="Arial" w:eastAsia="Times New Roman" w:hAnsi="Arial" w:cs="Arial"/>
          <w:lang w:val="en" w:eastAsia="en-GB"/>
        </w:rPr>
        <w:t xml:space="preserve"> and</w:t>
      </w:r>
      <w:r w:rsidR="00C523CE">
        <w:rPr>
          <w:rFonts w:ascii="Arial" w:eastAsia="Times New Roman" w:hAnsi="Arial" w:cs="Arial"/>
          <w:lang w:val="en" w:eastAsia="en-GB"/>
        </w:rPr>
        <w:t>, within this staff group,</w:t>
      </w:r>
      <w:r w:rsidRPr="00C523CE">
        <w:rPr>
          <w:rFonts w:ascii="Arial" w:eastAsia="Times New Roman" w:hAnsi="Arial" w:cs="Arial"/>
          <w:lang w:val="en" w:eastAsia="en-GB"/>
        </w:rPr>
        <w:t xml:space="preserve"> t</w:t>
      </w:r>
      <w:r w:rsidR="00B214F0" w:rsidRPr="00C523CE">
        <w:rPr>
          <w:rFonts w:ascii="Arial" w:eastAsia="Times New Roman" w:hAnsi="Arial" w:cs="Arial"/>
          <w:lang w:val="en" w:eastAsia="en-GB"/>
        </w:rPr>
        <w:t xml:space="preserve">here is a </w:t>
      </w:r>
      <w:r w:rsidR="00C523CE">
        <w:rPr>
          <w:rFonts w:ascii="Arial" w:eastAsia="Times New Roman" w:hAnsi="Arial" w:cs="Arial"/>
          <w:lang w:val="en" w:eastAsia="en-GB"/>
        </w:rPr>
        <w:t>significantly higher</w:t>
      </w:r>
      <w:r w:rsidR="00B214F0" w:rsidRPr="00C523CE">
        <w:rPr>
          <w:rFonts w:ascii="Arial" w:eastAsia="Times New Roman" w:hAnsi="Arial" w:cs="Arial"/>
          <w:lang w:val="en" w:eastAsia="en-GB"/>
        </w:rPr>
        <w:t xml:space="preserve"> proportion of men </w:t>
      </w:r>
      <w:r w:rsidRPr="00C523CE">
        <w:rPr>
          <w:rFonts w:ascii="Arial" w:eastAsia="Times New Roman" w:hAnsi="Arial" w:cs="Arial"/>
          <w:lang w:val="en" w:eastAsia="en-GB"/>
        </w:rPr>
        <w:t>than women.</w:t>
      </w:r>
    </w:p>
    <w:p w:rsidR="00F93A51" w:rsidRPr="003762ED" w:rsidRDefault="00F93A51" w:rsidP="00B214F0">
      <w:pPr>
        <w:spacing w:after="0" w:line="240" w:lineRule="auto"/>
        <w:jc w:val="both"/>
        <w:rPr>
          <w:rFonts w:ascii="Arial" w:hAnsi="Arial" w:cs="Arial"/>
        </w:rPr>
      </w:pPr>
    </w:p>
    <w:p w:rsidR="00B214F0" w:rsidRDefault="00F93A51" w:rsidP="00B214F0">
      <w:pPr>
        <w:spacing w:after="0" w:line="240" w:lineRule="auto"/>
        <w:jc w:val="both"/>
        <w:rPr>
          <w:rFonts w:ascii="Arial" w:hAnsi="Arial" w:cs="Arial"/>
        </w:rPr>
      </w:pPr>
      <w:r w:rsidRPr="003762ED">
        <w:rPr>
          <w:rFonts w:ascii="Arial" w:hAnsi="Arial" w:cs="Arial"/>
        </w:rPr>
        <w:t xml:space="preserve">The reasons for the gap are well known to </w:t>
      </w:r>
      <w:r w:rsidR="00C25A85" w:rsidRPr="003762ED">
        <w:rPr>
          <w:rFonts w:ascii="Arial" w:hAnsi="Arial" w:cs="Arial"/>
        </w:rPr>
        <w:t>NYFRS</w:t>
      </w:r>
      <w:r w:rsidRPr="003762ED">
        <w:rPr>
          <w:rFonts w:ascii="Arial" w:hAnsi="Arial" w:cs="Arial"/>
        </w:rPr>
        <w:t xml:space="preserve"> and the Fire and Rescue Service Sector generally. </w:t>
      </w:r>
      <w:r w:rsidR="00C25A85" w:rsidRPr="003762ED">
        <w:rPr>
          <w:rFonts w:ascii="Arial" w:hAnsi="Arial" w:cs="Arial"/>
        </w:rPr>
        <w:t>The Service values and encourages diversity in all rol</w:t>
      </w:r>
      <w:r w:rsidR="00C523CE">
        <w:rPr>
          <w:rFonts w:ascii="Arial" w:hAnsi="Arial" w:cs="Arial"/>
        </w:rPr>
        <w:t xml:space="preserve">es and at every level and </w:t>
      </w:r>
      <w:r w:rsidR="00753139">
        <w:rPr>
          <w:rFonts w:ascii="Arial" w:hAnsi="Arial" w:cs="Arial"/>
        </w:rPr>
        <w:t>action is</w:t>
      </w:r>
      <w:r w:rsidR="00C25A85" w:rsidRPr="003762ED">
        <w:rPr>
          <w:rFonts w:ascii="Arial" w:hAnsi="Arial" w:cs="Arial"/>
        </w:rPr>
        <w:t xml:space="preserve"> underway to encourage the recruitment and retention of female members of staff, particularly in </w:t>
      </w:r>
      <w:r w:rsidR="00C25A85" w:rsidRPr="003762ED">
        <w:rPr>
          <w:rFonts w:ascii="Arial" w:eastAsia="Times New Roman" w:hAnsi="Arial" w:cs="Arial"/>
          <w:lang w:val="en" w:eastAsia="en-GB"/>
        </w:rPr>
        <w:t>‘Grey Book’</w:t>
      </w:r>
      <w:r w:rsidR="00C25A85" w:rsidRPr="003762ED">
        <w:rPr>
          <w:rFonts w:ascii="Arial" w:hAnsi="Arial" w:cs="Arial"/>
        </w:rPr>
        <w:t xml:space="preserve"> roles where there is a high underrepresentation. </w:t>
      </w:r>
    </w:p>
    <w:p w:rsidR="003762ED" w:rsidRPr="003762ED" w:rsidRDefault="003762ED" w:rsidP="00B214F0">
      <w:pPr>
        <w:spacing w:after="0" w:line="240" w:lineRule="auto"/>
        <w:jc w:val="both"/>
        <w:rPr>
          <w:rFonts w:ascii="Arial" w:hAnsi="Arial" w:cs="Arial"/>
        </w:rPr>
      </w:pPr>
    </w:p>
    <w:p w:rsidR="00C25A85" w:rsidRPr="003762ED" w:rsidRDefault="00C25A85" w:rsidP="00B214F0">
      <w:pPr>
        <w:spacing w:after="0" w:line="240" w:lineRule="auto"/>
        <w:jc w:val="both"/>
        <w:rPr>
          <w:rFonts w:ascii="Arial" w:hAnsi="Arial" w:cs="Arial"/>
        </w:rPr>
      </w:pPr>
      <w:r w:rsidRPr="003762ED">
        <w:rPr>
          <w:rFonts w:ascii="Arial" w:hAnsi="Arial" w:cs="Arial"/>
        </w:rPr>
        <w:t xml:space="preserve">The impact of initiatives to recruit and retain female members of staff will take time and </w:t>
      </w:r>
      <w:r w:rsidR="00185EB1">
        <w:rPr>
          <w:rFonts w:ascii="Arial" w:hAnsi="Arial" w:cs="Arial"/>
        </w:rPr>
        <w:t>t</w:t>
      </w:r>
      <w:r w:rsidRPr="003762ED">
        <w:rPr>
          <w:rFonts w:ascii="Arial" w:hAnsi="Arial" w:cs="Arial"/>
        </w:rPr>
        <w:t xml:space="preserve">he Service recognises the benefit of continuing to take positive steps to close the gap. </w:t>
      </w:r>
      <w:r w:rsidR="00185EB1">
        <w:rPr>
          <w:rFonts w:ascii="Arial" w:hAnsi="Arial" w:cs="Arial"/>
        </w:rPr>
        <w:t xml:space="preserve"> </w:t>
      </w:r>
      <w:r w:rsidRPr="003762ED">
        <w:rPr>
          <w:rFonts w:ascii="Arial" w:hAnsi="Arial" w:cs="Arial"/>
        </w:rPr>
        <w:t xml:space="preserve">NYFRS is committed to the principles of equality of opportunity and we employ and promote staff in a fair and consistent </w:t>
      </w:r>
      <w:r w:rsidR="00B04B99" w:rsidRPr="003762ED">
        <w:rPr>
          <w:rFonts w:ascii="Arial" w:hAnsi="Arial" w:cs="Arial"/>
        </w:rPr>
        <w:t xml:space="preserve">manner and </w:t>
      </w:r>
      <w:r w:rsidRPr="003762ED">
        <w:rPr>
          <w:rFonts w:ascii="Arial" w:hAnsi="Arial" w:cs="Arial"/>
        </w:rPr>
        <w:t>based on c</w:t>
      </w:r>
      <w:r w:rsidR="00B04B99" w:rsidRPr="003762ED">
        <w:rPr>
          <w:rFonts w:ascii="Arial" w:hAnsi="Arial" w:cs="Arial"/>
        </w:rPr>
        <w:t>ompetency</w:t>
      </w:r>
      <w:r w:rsidRPr="003762ED">
        <w:rPr>
          <w:rFonts w:ascii="Arial" w:hAnsi="Arial" w:cs="Arial"/>
        </w:rPr>
        <w:t xml:space="preserve">. </w:t>
      </w:r>
    </w:p>
    <w:p w:rsidR="00F93A51" w:rsidRPr="003762ED" w:rsidRDefault="00F93A51" w:rsidP="00B214F0">
      <w:pPr>
        <w:spacing w:after="0" w:line="240" w:lineRule="auto"/>
        <w:jc w:val="both"/>
        <w:rPr>
          <w:rFonts w:ascii="Arial" w:hAnsi="Arial" w:cs="Arial"/>
        </w:rPr>
      </w:pPr>
    </w:p>
    <w:p w:rsidR="00B214F0" w:rsidRPr="003762ED" w:rsidRDefault="00B04B99" w:rsidP="00BF043C">
      <w:pPr>
        <w:spacing w:after="0" w:line="240" w:lineRule="auto"/>
        <w:jc w:val="both"/>
        <w:rPr>
          <w:rFonts w:ascii="Arial" w:hAnsi="Arial" w:cs="Arial"/>
        </w:rPr>
      </w:pPr>
      <w:r w:rsidRPr="003762ED">
        <w:rPr>
          <w:rFonts w:ascii="Arial" w:hAnsi="Arial" w:cs="Arial"/>
          <w:color w:val="000000"/>
        </w:rPr>
        <w:t xml:space="preserve">The Service will continue to focus on taking positive steps to improve the gap. We will continue to monitor our workforce, continue to value and encourage diversity in recruitment and have working practices that support balancing work and personal life. </w:t>
      </w:r>
      <w:r w:rsidR="00753139">
        <w:rPr>
          <w:rFonts w:ascii="Arial" w:hAnsi="Arial" w:cs="Arial"/>
          <w:color w:val="000000"/>
        </w:rPr>
        <w:t xml:space="preserve"> </w:t>
      </w:r>
      <w:r w:rsidRPr="003762ED">
        <w:rPr>
          <w:rFonts w:ascii="Arial" w:hAnsi="Arial" w:cs="Arial"/>
        </w:rPr>
        <w:t>T</w:t>
      </w:r>
      <w:r w:rsidR="00B214F0" w:rsidRPr="003762ED">
        <w:rPr>
          <w:rFonts w:ascii="Arial" w:hAnsi="Arial" w:cs="Arial"/>
        </w:rPr>
        <w:t>he Service uses job evaluation</w:t>
      </w:r>
      <w:r w:rsidR="003762ED">
        <w:rPr>
          <w:rFonts w:ascii="Arial" w:hAnsi="Arial" w:cs="Arial"/>
        </w:rPr>
        <w:t xml:space="preserve"> to ensure a fair pay structure. </w:t>
      </w:r>
      <w:r w:rsidR="00B214F0" w:rsidRPr="003762ED">
        <w:rPr>
          <w:rFonts w:ascii="Arial" w:hAnsi="Arial" w:cs="Arial"/>
        </w:rPr>
        <w:t xml:space="preserve">For Grey and </w:t>
      </w:r>
      <w:r w:rsidRPr="003762ED">
        <w:rPr>
          <w:rFonts w:ascii="Arial" w:hAnsi="Arial" w:cs="Arial"/>
        </w:rPr>
        <w:t xml:space="preserve">Green </w:t>
      </w:r>
      <w:r w:rsidR="00B214F0" w:rsidRPr="003762ED">
        <w:rPr>
          <w:rFonts w:ascii="Arial" w:hAnsi="Arial" w:cs="Arial"/>
        </w:rPr>
        <w:t>book staff, the rates of pay are equal for men and women</w:t>
      </w:r>
      <w:r w:rsidRPr="003762ED">
        <w:rPr>
          <w:rFonts w:ascii="Arial" w:hAnsi="Arial" w:cs="Arial"/>
        </w:rPr>
        <w:t xml:space="preserve">. Job evaluation will continue to be used and all </w:t>
      </w:r>
      <w:r w:rsidRPr="003762ED">
        <w:rPr>
          <w:rFonts w:ascii="Arial" w:hAnsi="Arial" w:cs="Arial"/>
          <w:color w:val="000000"/>
        </w:rPr>
        <w:t>processes</w:t>
      </w:r>
      <w:r w:rsidR="003762ED" w:rsidRPr="003762ED">
        <w:rPr>
          <w:rFonts w:ascii="Arial" w:hAnsi="Arial" w:cs="Arial"/>
          <w:color w:val="000000"/>
        </w:rPr>
        <w:t xml:space="preserve"> and initiatives </w:t>
      </w:r>
      <w:r w:rsidRPr="003762ED">
        <w:rPr>
          <w:rFonts w:ascii="Arial" w:hAnsi="Arial" w:cs="Arial"/>
          <w:color w:val="000000"/>
        </w:rPr>
        <w:t>will be reviewed to ensure that we are continuing to take positive steps</w:t>
      </w:r>
      <w:r w:rsidR="003762ED">
        <w:rPr>
          <w:rFonts w:ascii="Arial" w:hAnsi="Arial" w:cs="Arial"/>
          <w:color w:val="000000"/>
        </w:rPr>
        <w:t xml:space="preserve"> in closing the gap</w:t>
      </w:r>
      <w:r w:rsidRPr="003762ED">
        <w:rPr>
          <w:rFonts w:ascii="Arial" w:hAnsi="Arial" w:cs="Arial"/>
          <w:color w:val="000000"/>
        </w:rPr>
        <w:t>.</w:t>
      </w:r>
    </w:p>
    <w:p w:rsidR="00745339" w:rsidRDefault="00745339" w:rsidP="00BF043C">
      <w:pPr>
        <w:spacing w:after="0" w:line="240" w:lineRule="auto"/>
        <w:jc w:val="both"/>
        <w:rPr>
          <w:rFonts w:ascii="Arial" w:hAnsi="Arial" w:cs="Arial"/>
          <w:b/>
          <w:u w:val="single"/>
        </w:rPr>
      </w:pPr>
    </w:p>
    <w:p w:rsidR="005E70BD" w:rsidRDefault="005E70BD" w:rsidP="00BF043C">
      <w:pPr>
        <w:spacing w:after="0" w:line="240" w:lineRule="auto"/>
        <w:jc w:val="both"/>
        <w:rPr>
          <w:rFonts w:ascii="Arial" w:hAnsi="Arial" w:cs="Arial"/>
          <w:b/>
          <w:u w:val="single"/>
        </w:rPr>
      </w:pPr>
    </w:p>
    <w:p w:rsidR="00A07B85" w:rsidRDefault="00A07B85" w:rsidP="00BF043C">
      <w:pPr>
        <w:spacing w:after="0" w:line="240" w:lineRule="auto"/>
        <w:jc w:val="both"/>
        <w:rPr>
          <w:rFonts w:ascii="Arial" w:hAnsi="Arial" w:cs="Arial"/>
        </w:rPr>
      </w:pPr>
    </w:p>
    <w:p w:rsidR="00A07B85" w:rsidRDefault="00A07B85" w:rsidP="00BF043C">
      <w:pPr>
        <w:spacing w:after="0" w:line="240" w:lineRule="auto"/>
        <w:jc w:val="both"/>
        <w:rPr>
          <w:rFonts w:ascii="Arial" w:hAnsi="Arial" w:cs="Arial"/>
        </w:rPr>
      </w:pPr>
    </w:p>
    <w:p w:rsidR="00A07B85" w:rsidRDefault="00A07B85" w:rsidP="00BF043C">
      <w:pPr>
        <w:spacing w:after="0" w:line="240" w:lineRule="auto"/>
        <w:jc w:val="both"/>
        <w:rPr>
          <w:rFonts w:ascii="Arial" w:hAnsi="Arial" w:cs="Arial"/>
        </w:rPr>
      </w:pPr>
    </w:p>
    <w:p w:rsidR="00A07B85" w:rsidRDefault="00A07B85" w:rsidP="00BF043C">
      <w:pPr>
        <w:spacing w:after="0" w:line="240" w:lineRule="auto"/>
        <w:jc w:val="both"/>
        <w:rPr>
          <w:rFonts w:ascii="Arial" w:hAnsi="Arial" w:cs="Arial"/>
        </w:rPr>
      </w:pPr>
    </w:p>
    <w:p w:rsidR="00A07B85" w:rsidRDefault="00A07B85" w:rsidP="00BF043C">
      <w:pPr>
        <w:spacing w:after="0" w:line="240" w:lineRule="auto"/>
        <w:jc w:val="both"/>
        <w:rPr>
          <w:rFonts w:ascii="Arial" w:hAnsi="Arial" w:cs="Arial"/>
        </w:rPr>
      </w:pPr>
    </w:p>
    <w:p w:rsidR="00753139" w:rsidRDefault="00753139" w:rsidP="00BF043C">
      <w:pPr>
        <w:spacing w:after="0" w:line="240" w:lineRule="auto"/>
        <w:jc w:val="both"/>
        <w:rPr>
          <w:rFonts w:ascii="Arial" w:hAnsi="Arial" w:cs="Arial"/>
          <w:b/>
          <w:u w:val="single"/>
        </w:rPr>
      </w:pPr>
    </w:p>
    <w:p w:rsidR="00753139" w:rsidRDefault="00753139" w:rsidP="00BF043C">
      <w:pPr>
        <w:spacing w:after="0" w:line="240" w:lineRule="auto"/>
        <w:jc w:val="both"/>
        <w:rPr>
          <w:rFonts w:ascii="Arial" w:hAnsi="Arial" w:cs="Arial"/>
          <w:b/>
          <w:u w:val="single"/>
        </w:rPr>
      </w:pPr>
    </w:p>
    <w:p w:rsidR="00753139" w:rsidRDefault="00753139" w:rsidP="00BF043C">
      <w:pPr>
        <w:spacing w:after="0" w:line="240" w:lineRule="auto"/>
        <w:jc w:val="both"/>
        <w:rPr>
          <w:rFonts w:ascii="Arial" w:hAnsi="Arial" w:cs="Arial"/>
          <w:b/>
          <w:u w:val="single"/>
        </w:rPr>
      </w:pPr>
    </w:p>
    <w:p w:rsidR="00A07B85" w:rsidRDefault="00A07B85" w:rsidP="00BF043C">
      <w:pPr>
        <w:spacing w:after="0" w:line="240" w:lineRule="auto"/>
        <w:jc w:val="both"/>
        <w:rPr>
          <w:rFonts w:ascii="Arial" w:hAnsi="Arial" w:cs="Arial"/>
          <w:b/>
          <w:u w:val="single"/>
        </w:rPr>
      </w:pPr>
      <w:r w:rsidRPr="00A07B85">
        <w:rPr>
          <w:rFonts w:ascii="Arial" w:hAnsi="Arial" w:cs="Arial"/>
          <w:b/>
          <w:u w:val="single"/>
        </w:rPr>
        <w:t>Declaration</w:t>
      </w:r>
    </w:p>
    <w:p w:rsidR="00753139" w:rsidRPr="00A07B85" w:rsidRDefault="00753139" w:rsidP="00BF043C">
      <w:pPr>
        <w:spacing w:after="0" w:line="240" w:lineRule="auto"/>
        <w:jc w:val="both"/>
        <w:rPr>
          <w:rFonts w:ascii="Arial" w:hAnsi="Arial" w:cs="Arial"/>
          <w:b/>
          <w:u w:val="single"/>
        </w:rPr>
      </w:pPr>
    </w:p>
    <w:p w:rsidR="00A07B85" w:rsidRDefault="00A07B85" w:rsidP="00BF043C">
      <w:pPr>
        <w:spacing w:after="0" w:line="240" w:lineRule="auto"/>
        <w:jc w:val="both"/>
        <w:rPr>
          <w:rFonts w:ascii="Arial" w:hAnsi="Arial" w:cs="Arial"/>
        </w:rPr>
      </w:pPr>
    </w:p>
    <w:p w:rsidR="005E70BD" w:rsidRDefault="0001608E" w:rsidP="00BF043C">
      <w:pPr>
        <w:spacing w:after="0" w:line="240" w:lineRule="auto"/>
        <w:jc w:val="both"/>
        <w:rPr>
          <w:rFonts w:ascii="Arial" w:hAnsi="Arial" w:cs="Arial"/>
        </w:rPr>
      </w:pPr>
      <w:r>
        <w:rPr>
          <w:rFonts w:ascii="Arial" w:hAnsi="Arial" w:cs="Arial"/>
        </w:rPr>
        <w:t>I</w:t>
      </w:r>
      <w:r w:rsidR="005E70BD">
        <w:rPr>
          <w:rFonts w:ascii="Arial" w:hAnsi="Arial" w:cs="Arial"/>
        </w:rPr>
        <w:t xml:space="preserve"> confirm that the information and data provided is acc</w:t>
      </w:r>
      <w:r>
        <w:rPr>
          <w:rFonts w:ascii="Arial" w:hAnsi="Arial" w:cs="Arial"/>
        </w:rPr>
        <w:t>urate and in line with mandatory requirements.</w:t>
      </w:r>
    </w:p>
    <w:p w:rsidR="0001608E" w:rsidRDefault="0001608E" w:rsidP="00BF043C">
      <w:pPr>
        <w:spacing w:after="0" w:line="240" w:lineRule="auto"/>
        <w:jc w:val="both"/>
        <w:rPr>
          <w:rFonts w:ascii="Arial" w:hAnsi="Arial" w:cs="Arial"/>
        </w:rPr>
      </w:pPr>
    </w:p>
    <w:p w:rsidR="0001608E" w:rsidRDefault="0001608E" w:rsidP="00BF043C">
      <w:pPr>
        <w:spacing w:after="0" w:line="240" w:lineRule="auto"/>
        <w:jc w:val="both"/>
        <w:rPr>
          <w:rFonts w:ascii="Arial" w:hAnsi="Arial" w:cs="Arial"/>
        </w:rPr>
      </w:pPr>
    </w:p>
    <w:p w:rsidR="00A07B85" w:rsidRDefault="00A07B85" w:rsidP="00BF043C">
      <w:pPr>
        <w:spacing w:after="0" w:line="240" w:lineRule="auto"/>
        <w:jc w:val="both"/>
        <w:rPr>
          <w:rFonts w:ascii="Arial" w:hAnsi="Arial" w:cs="Arial"/>
        </w:rPr>
      </w:pPr>
    </w:p>
    <w:p w:rsidR="00A07B85" w:rsidRDefault="00A07B85" w:rsidP="00BF043C">
      <w:pPr>
        <w:spacing w:after="0" w:line="240" w:lineRule="auto"/>
        <w:jc w:val="both"/>
        <w:rPr>
          <w:rFonts w:ascii="Arial" w:hAnsi="Arial" w:cs="Arial"/>
        </w:rPr>
      </w:pPr>
    </w:p>
    <w:p w:rsidR="00A07B85" w:rsidRDefault="00A07B85" w:rsidP="00BF043C">
      <w:pPr>
        <w:spacing w:after="0" w:line="240" w:lineRule="auto"/>
        <w:jc w:val="both"/>
        <w:rPr>
          <w:rFonts w:ascii="Arial" w:hAnsi="Arial" w:cs="Arial"/>
        </w:rPr>
      </w:pPr>
    </w:p>
    <w:p w:rsidR="0001608E" w:rsidRDefault="0001608E" w:rsidP="00BF043C">
      <w:pPr>
        <w:spacing w:after="0" w:line="240" w:lineRule="auto"/>
        <w:jc w:val="both"/>
        <w:rPr>
          <w:rFonts w:ascii="Arial" w:hAnsi="Arial" w:cs="Arial"/>
        </w:rPr>
      </w:pPr>
    </w:p>
    <w:p w:rsidR="00A07B85" w:rsidRDefault="0001608E" w:rsidP="00BF043C">
      <w:pPr>
        <w:spacing w:after="0" w:line="240" w:lineRule="auto"/>
        <w:jc w:val="both"/>
        <w:rPr>
          <w:rFonts w:ascii="Arial" w:hAnsi="Arial" w:cs="Arial"/>
        </w:rPr>
      </w:pPr>
      <w:r>
        <w:rPr>
          <w:rFonts w:ascii="Arial" w:hAnsi="Arial" w:cs="Arial"/>
        </w:rPr>
        <w:t xml:space="preserve">A Brodie </w:t>
      </w:r>
    </w:p>
    <w:p w:rsidR="0001608E" w:rsidRPr="005E70BD" w:rsidRDefault="0001608E" w:rsidP="00BF043C">
      <w:pPr>
        <w:spacing w:after="0" w:line="240" w:lineRule="auto"/>
        <w:jc w:val="both"/>
        <w:rPr>
          <w:rFonts w:ascii="Arial" w:hAnsi="Arial" w:cs="Arial"/>
        </w:rPr>
      </w:pPr>
      <w:r>
        <w:rPr>
          <w:rFonts w:ascii="Arial" w:hAnsi="Arial" w:cs="Arial"/>
        </w:rPr>
        <w:t>Chief Fire Officer for North Yor</w:t>
      </w:r>
      <w:r w:rsidR="00A07B85">
        <w:rPr>
          <w:rFonts w:ascii="Arial" w:hAnsi="Arial" w:cs="Arial"/>
        </w:rPr>
        <w:t>kshire Fire and Rescue Service</w:t>
      </w:r>
    </w:p>
    <w:sectPr w:rsidR="0001608E" w:rsidRPr="005E70BD" w:rsidSect="0024428D">
      <w:headerReference w:type="default" r:id="rId14"/>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D1" w:rsidRDefault="00885BD1" w:rsidP="009A5E3A">
      <w:pPr>
        <w:spacing w:after="0" w:line="240" w:lineRule="auto"/>
      </w:pPr>
      <w:r>
        <w:separator/>
      </w:r>
    </w:p>
  </w:endnote>
  <w:endnote w:type="continuationSeparator" w:id="0">
    <w:p w:rsidR="00885BD1" w:rsidRDefault="00885BD1" w:rsidP="009A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Std-Ligh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62823"/>
      <w:docPartObj>
        <w:docPartGallery w:val="Page Numbers (Bottom of Page)"/>
        <w:docPartUnique/>
      </w:docPartObj>
    </w:sdtPr>
    <w:sdtEndPr>
      <w:rPr>
        <w:noProof/>
      </w:rPr>
    </w:sdtEndPr>
    <w:sdtContent>
      <w:p w:rsidR="00543A31" w:rsidRDefault="00543A31" w:rsidP="00543A31">
        <w:pPr>
          <w:pStyle w:val="Footer"/>
          <w:rPr>
            <w:noProof/>
          </w:rPr>
        </w:pPr>
        <w:r>
          <w:fldChar w:fldCharType="begin"/>
        </w:r>
        <w:r>
          <w:instrText xml:space="preserve"> PAGE   \* MERGEFORMAT </w:instrText>
        </w:r>
        <w:r>
          <w:fldChar w:fldCharType="separate"/>
        </w:r>
        <w:r w:rsidR="004F1601">
          <w:rPr>
            <w:noProof/>
          </w:rPr>
          <w:t>4</w:t>
        </w:r>
        <w:r>
          <w:rPr>
            <w:noProof/>
          </w:rPr>
          <w:fldChar w:fldCharType="end"/>
        </w:r>
      </w:p>
      <w:p w:rsidR="00543A31" w:rsidRDefault="00885BD1">
        <w:pPr>
          <w:pStyle w:val="Footer"/>
          <w:jc w:val="center"/>
        </w:pPr>
      </w:p>
    </w:sdtContent>
  </w:sdt>
  <w:p w:rsidR="00543A31" w:rsidRPr="00543A31" w:rsidRDefault="00543A31" w:rsidP="00543A31">
    <w:pPr>
      <w:pStyle w:val="Footer"/>
      <w:jc w:val="right"/>
      <w:rPr>
        <w:rFonts w:ascii="Arial" w:hAnsi="Arial" w:cs="Arial"/>
        <w:szCs w:val="20"/>
        <w:lang w:val="en"/>
      </w:rPr>
    </w:pPr>
    <w:r w:rsidRPr="00543A31">
      <w:rPr>
        <w:rFonts w:ascii="Arial" w:hAnsi="Arial" w:cs="Arial"/>
        <w:szCs w:val="20"/>
        <w:lang w:val="en"/>
      </w:rPr>
      <w:t xml:space="preserve">Committed to equality of opportunity and inclusion for  all employees. </w:t>
    </w:r>
  </w:p>
  <w:p w:rsidR="00543A31" w:rsidRPr="00543A31" w:rsidRDefault="00543A31" w:rsidP="00543A31">
    <w:pPr>
      <w:pStyle w:val="Footer"/>
      <w:jc w:val="right"/>
      <w:rPr>
        <w:rFonts w:ascii="Arial" w:hAnsi="Arial" w:cs="Arial"/>
      </w:rPr>
    </w:pPr>
    <w:r w:rsidRPr="00543A31">
      <w:rPr>
        <w:rFonts w:ascii="Arial" w:hAnsi="Arial" w:cs="Arial"/>
        <w:szCs w:val="20"/>
        <w:lang w:val="en"/>
      </w:rPr>
      <w:t xml:space="preserve">Gender Pay Gap Report: </w:t>
    </w:r>
    <w:hyperlink r:id="rId1" w:history="1">
      <w:r w:rsidRPr="00543A31">
        <w:rPr>
          <w:rStyle w:val="Hyperlink"/>
          <w:rFonts w:ascii="Arial" w:hAnsi="Arial" w:cs="Arial"/>
        </w:rPr>
        <w:t>www.northyorksfire.gov.uk</w:t>
      </w:r>
    </w:hyperlink>
    <w:r w:rsidRPr="00543A31">
      <w:rP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31" w:rsidRPr="00543A31" w:rsidRDefault="00543A31" w:rsidP="00543A31">
    <w:pPr>
      <w:pStyle w:val="Footer"/>
      <w:jc w:val="right"/>
      <w:rPr>
        <w:rFonts w:ascii="Arial" w:hAnsi="Arial" w:cs="Arial"/>
        <w:szCs w:val="20"/>
        <w:lang w:val="en"/>
      </w:rPr>
    </w:pPr>
    <w:r w:rsidRPr="00543A31">
      <w:rPr>
        <w:rFonts w:ascii="Arial" w:hAnsi="Arial" w:cs="Arial"/>
        <w:szCs w:val="20"/>
        <w:lang w:val="en"/>
      </w:rPr>
      <w:t xml:space="preserve">Committed to equality of opportunity and inclusion for  all employees. </w:t>
    </w:r>
  </w:p>
  <w:p w:rsidR="00543A31" w:rsidRPr="00543A31" w:rsidRDefault="00543A31" w:rsidP="00543A31">
    <w:pPr>
      <w:pStyle w:val="Footer"/>
      <w:jc w:val="right"/>
      <w:rPr>
        <w:rFonts w:ascii="Arial" w:hAnsi="Arial" w:cs="Arial"/>
      </w:rPr>
    </w:pPr>
    <w:r w:rsidRPr="00543A31">
      <w:rPr>
        <w:rFonts w:ascii="Arial" w:hAnsi="Arial" w:cs="Arial"/>
        <w:szCs w:val="20"/>
        <w:lang w:val="en"/>
      </w:rPr>
      <w:t xml:space="preserve">Gender Pay Gap Report: </w:t>
    </w:r>
    <w:hyperlink r:id="rId1" w:history="1">
      <w:r w:rsidRPr="00543A31">
        <w:rPr>
          <w:rStyle w:val="Hyperlink"/>
          <w:rFonts w:ascii="Arial" w:hAnsi="Arial" w:cs="Arial"/>
        </w:rPr>
        <w:t>www.northyorksfire.gov.uk</w:t>
      </w:r>
    </w:hyperlink>
    <w:r w:rsidRPr="00543A31">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D1" w:rsidRDefault="00885BD1" w:rsidP="009A5E3A">
      <w:pPr>
        <w:spacing w:after="0" w:line="240" w:lineRule="auto"/>
      </w:pPr>
      <w:r>
        <w:separator/>
      </w:r>
    </w:p>
  </w:footnote>
  <w:footnote w:type="continuationSeparator" w:id="0">
    <w:p w:rsidR="00885BD1" w:rsidRDefault="00885BD1" w:rsidP="009A5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8B" w:rsidRDefault="0032068B">
    <w:pPr>
      <w:pStyle w:val="Header"/>
    </w:pPr>
    <w:r>
      <w:rPr>
        <w:noProof/>
        <w:lang w:eastAsia="en-GB"/>
      </w:rPr>
      <w:drawing>
        <wp:inline distT="0" distB="0" distL="0" distR="0" wp14:anchorId="3879FD0A" wp14:editId="3AED3762">
          <wp:extent cx="5731510" cy="1282242"/>
          <wp:effectExtent l="0" t="0" r="2540" b="0"/>
          <wp:docPr id="4" name="Picture 4" descr="nyf&amp;rs_logo_stationery header"/>
          <wp:cNvGraphicFramePr/>
          <a:graphic xmlns:a="http://schemas.openxmlformats.org/drawingml/2006/main">
            <a:graphicData uri="http://schemas.openxmlformats.org/drawingml/2006/picture">
              <pic:pic xmlns:pic="http://schemas.openxmlformats.org/drawingml/2006/picture">
                <pic:nvPicPr>
                  <pic:cNvPr id="4" name="Picture 4" descr="nyf&amp;rs_logo_stationery head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822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7C9"/>
    <w:multiLevelType w:val="hybridMultilevel"/>
    <w:tmpl w:val="35BE2DBC"/>
    <w:lvl w:ilvl="0" w:tplc="695EB7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27E13"/>
    <w:multiLevelType w:val="hybridMultilevel"/>
    <w:tmpl w:val="4D06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B1E3E"/>
    <w:multiLevelType w:val="hybridMultilevel"/>
    <w:tmpl w:val="EFA42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E006F6"/>
    <w:multiLevelType w:val="hybridMultilevel"/>
    <w:tmpl w:val="8974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42955"/>
    <w:multiLevelType w:val="hybridMultilevel"/>
    <w:tmpl w:val="BC9E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55CED"/>
    <w:multiLevelType w:val="multilevel"/>
    <w:tmpl w:val="83E4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900E0"/>
    <w:multiLevelType w:val="hybridMultilevel"/>
    <w:tmpl w:val="A47CBD74"/>
    <w:lvl w:ilvl="0" w:tplc="695EB7C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75A1897"/>
    <w:multiLevelType w:val="hybridMultilevel"/>
    <w:tmpl w:val="3D3EF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25500A"/>
    <w:multiLevelType w:val="hybridMultilevel"/>
    <w:tmpl w:val="B514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B75700"/>
    <w:multiLevelType w:val="hybridMultilevel"/>
    <w:tmpl w:val="C94A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D47B9"/>
    <w:multiLevelType w:val="hybridMultilevel"/>
    <w:tmpl w:val="907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D302FC"/>
    <w:multiLevelType w:val="hybridMultilevel"/>
    <w:tmpl w:val="394E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390415"/>
    <w:multiLevelType w:val="hybridMultilevel"/>
    <w:tmpl w:val="A9906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7"/>
  </w:num>
  <w:num w:numId="5">
    <w:abstractNumId w:val="2"/>
  </w:num>
  <w:num w:numId="6">
    <w:abstractNumId w:val="12"/>
  </w:num>
  <w:num w:numId="7">
    <w:abstractNumId w:val="3"/>
  </w:num>
  <w:num w:numId="8">
    <w:abstractNumId w:val="5"/>
  </w:num>
  <w:num w:numId="9">
    <w:abstractNumId w:val="1"/>
  </w:num>
  <w:num w:numId="10">
    <w:abstractNumId w:val="8"/>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9D"/>
    <w:rsid w:val="00004DC8"/>
    <w:rsid w:val="00014216"/>
    <w:rsid w:val="0001608E"/>
    <w:rsid w:val="0002143D"/>
    <w:rsid w:val="00031061"/>
    <w:rsid w:val="00043BB6"/>
    <w:rsid w:val="0006552E"/>
    <w:rsid w:val="000702D8"/>
    <w:rsid w:val="00090F27"/>
    <w:rsid w:val="000B1E38"/>
    <w:rsid w:val="000D28D0"/>
    <w:rsid w:val="000D5AB7"/>
    <w:rsid w:val="000D6612"/>
    <w:rsid w:val="000E55E3"/>
    <w:rsid w:val="00102B00"/>
    <w:rsid w:val="00133B6F"/>
    <w:rsid w:val="00155724"/>
    <w:rsid w:val="001850D6"/>
    <w:rsid w:val="00185EB1"/>
    <w:rsid w:val="001A19AB"/>
    <w:rsid w:val="001B0E55"/>
    <w:rsid w:val="001F18D4"/>
    <w:rsid w:val="0024428D"/>
    <w:rsid w:val="00247054"/>
    <w:rsid w:val="00254B8D"/>
    <w:rsid w:val="002864E4"/>
    <w:rsid w:val="00293710"/>
    <w:rsid w:val="002959DD"/>
    <w:rsid w:val="002A52E8"/>
    <w:rsid w:val="002B7FFE"/>
    <w:rsid w:val="002C2C9A"/>
    <w:rsid w:val="002C49E4"/>
    <w:rsid w:val="002D0646"/>
    <w:rsid w:val="002F1A27"/>
    <w:rsid w:val="002F65BC"/>
    <w:rsid w:val="003003BB"/>
    <w:rsid w:val="003152CE"/>
    <w:rsid w:val="0032068B"/>
    <w:rsid w:val="00323E67"/>
    <w:rsid w:val="00342637"/>
    <w:rsid w:val="003762ED"/>
    <w:rsid w:val="00384620"/>
    <w:rsid w:val="00391E9D"/>
    <w:rsid w:val="00397C7E"/>
    <w:rsid w:val="003B7B2E"/>
    <w:rsid w:val="003E3DDC"/>
    <w:rsid w:val="003F53A1"/>
    <w:rsid w:val="0043050A"/>
    <w:rsid w:val="0043057C"/>
    <w:rsid w:val="00457654"/>
    <w:rsid w:val="00463536"/>
    <w:rsid w:val="00474A39"/>
    <w:rsid w:val="0047594D"/>
    <w:rsid w:val="00496AFD"/>
    <w:rsid w:val="004A6B6D"/>
    <w:rsid w:val="004C4B8E"/>
    <w:rsid w:val="004F1601"/>
    <w:rsid w:val="0051324D"/>
    <w:rsid w:val="005257AB"/>
    <w:rsid w:val="005334AF"/>
    <w:rsid w:val="00541766"/>
    <w:rsid w:val="00543A31"/>
    <w:rsid w:val="00551D8C"/>
    <w:rsid w:val="00560417"/>
    <w:rsid w:val="0057378C"/>
    <w:rsid w:val="00576A30"/>
    <w:rsid w:val="005920CC"/>
    <w:rsid w:val="005979FE"/>
    <w:rsid w:val="005C4800"/>
    <w:rsid w:val="005E70BD"/>
    <w:rsid w:val="00654A5C"/>
    <w:rsid w:val="00661F11"/>
    <w:rsid w:val="00670761"/>
    <w:rsid w:val="00676A4D"/>
    <w:rsid w:val="00680CF8"/>
    <w:rsid w:val="0069015A"/>
    <w:rsid w:val="006F58EF"/>
    <w:rsid w:val="00730D69"/>
    <w:rsid w:val="00745339"/>
    <w:rsid w:val="00746CA9"/>
    <w:rsid w:val="00753139"/>
    <w:rsid w:val="007553F9"/>
    <w:rsid w:val="00784151"/>
    <w:rsid w:val="007A54E8"/>
    <w:rsid w:val="007A6353"/>
    <w:rsid w:val="007C4F6E"/>
    <w:rsid w:val="007D5729"/>
    <w:rsid w:val="007F6CD3"/>
    <w:rsid w:val="008103A3"/>
    <w:rsid w:val="0081414E"/>
    <w:rsid w:val="00844A9C"/>
    <w:rsid w:val="00860FA9"/>
    <w:rsid w:val="00867544"/>
    <w:rsid w:val="00885BD1"/>
    <w:rsid w:val="008C491F"/>
    <w:rsid w:val="008E2F23"/>
    <w:rsid w:val="008F193C"/>
    <w:rsid w:val="008F35E8"/>
    <w:rsid w:val="008F5972"/>
    <w:rsid w:val="0090488C"/>
    <w:rsid w:val="009077F7"/>
    <w:rsid w:val="00945C5E"/>
    <w:rsid w:val="00975911"/>
    <w:rsid w:val="00991AB9"/>
    <w:rsid w:val="009A5E3A"/>
    <w:rsid w:val="009C700E"/>
    <w:rsid w:val="009E4C7C"/>
    <w:rsid w:val="00A07B85"/>
    <w:rsid w:val="00A13165"/>
    <w:rsid w:val="00A52F91"/>
    <w:rsid w:val="00A75146"/>
    <w:rsid w:val="00A8391C"/>
    <w:rsid w:val="00A853BD"/>
    <w:rsid w:val="00A87614"/>
    <w:rsid w:val="00A87AB2"/>
    <w:rsid w:val="00AA0685"/>
    <w:rsid w:val="00AB28C6"/>
    <w:rsid w:val="00AB40F2"/>
    <w:rsid w:val="00AC4001"/>
    <w:rsid w:val="00AD4B17"/>
    <w:rsid w:val="00AF3BE9"/>
    <w:rsid w:val="00B0017A"/>
    <w:rsid w:val="00B04B99"/>
    <w:rsid w:val="00B1555C"/>
    <w:rsid w:val="00B214F0"/>
    <w:rsid w:val="00B27FCE"/>
    <w:rsid w:val="00B351BE"/>
    <w:rsid w:val="00B5401D"/>
    <w:rsid w:val="00B70B62"/>
    <w:rsid w:val="00B95834"/>
    <w:rsid w:val="00BB3813"/>
    <w:rsid w:val="00BE4DEB"/>
    <w:rsid w:val="00BF043C"/>
    <w:rsid w:val="00BF35FA"/>
    <w:rsid w:val="00C10249"/>
    <w:rsid w:val="00C10D7F"/>
    <w:rsid w:val="00C15EB6"/>
    <w:rsid w:val="00C25A85"/>
    <w:rsid w:val="00C523CE"/>
    <w:rsid w:val="00C5457B"/>
    <w:rsid w:val="00C831B2"/>
    <w:rsid w:val="00C87E6C"/>
    <w:rsid w:val="00CA7CC5"/>
    <w:rsid w:val="00CD15BE"/>
    <w:rsid w:val="00CF0FF7"/>
    <w:rsid w:val="00CF5E37"/>
    <w:rsid w:val="00D004C1"/>
    <w:rsid w:val="00D07455"/>
    <w:rsid w:val="00D26C93"/>
    <w:rsid w:val="00D416F4"/>
    <w:rsid w:val="00D621D5"/>
    <w:rsid w:val="00D72804"/>
    <w:rsid w:val="00D847C7"/>
    <w:rsid w:val="00D91983"/>
    <w:rsid w:val="00D93BB3"/>
    <w:rsid w:val="00DA06A0"/>
    <w:rsid w:val="00DA1461"/>
    <w:rsid w:val="00DA46A7"/>
    <w:rsid w:val="00DA58A8"/>
    <w:rsid w:val="00DA6E5C"/>
    <w:rsid w:val="00DB6EC6"/>
    <w:rsid w:val="00DB746F"/>
    <w:rsid w:val="00DC16E4"/>
    <w:rsid w:val="00DE29C2"/>
    <w:rsid w:val="00DF4431"/>
    <w:rsid w:val="00E53542"/>
    <w:rsid w:val="00E55A57"/>
    <w:rsid w:val="00E62DBC"/>
    <w:rsid w:val="00E82FC9"/>
    <w:rsid w:val="00E86D12"/>
    <w:rsid w:val="00EC2E79"/>
    <w:rsid w:val="00EE771B"/>
    <w:rsid w:val="00EF62A7"/>
    <w:rsid w:val="00F063E9"/>
    <w:rsid w:val="00F250A3"/>
    <w:rsid w:val="00F31461"/>
    <w:rsid w:val="00F62166"/>
    <w:rsid w:val="00F657AA"/>
    <w:rsid w:val="00F80762"/>
    <w:rsid w:val="00F93A51"/>
    <w:rsid w:val="00F950F4"/>
    <w:rsid w:val="00FC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4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7C"/>
    <w:pPr>
      <w:ind w:left="720"/>
      <w:contextualSpacing/>
    </w:pPr>
  </w:style>
  <w:style w:type="table" w:styleId="TableGrid">
    <w:name w:val="Table Grid"/>
    <w:basedOn w:val="TableNormal"/>
    <w:uiPriority w:val="59"/>
    <w:unhideWhenUsed/>
    <w:rsid w:val="00C1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AA"/>
    <w:rPr>
      <w:rFonts w:ascii="Tahoma" w:hAnsi="Tahoma" w:cs="Tahoma"/>
      <w:sz w:val="16"/>
      <w:szCs w:val="16"/>
    </w:rPr>
  </w:style>
  <w:style w:type="character" w:customStyle="1" w:styleId="fontstyle01">
    <w:name w:val="fontstyle01"/>
    <w:basedOn w:val="DefaultParagraphFont"/>
    <w:rsid w:val="00DE29C2"/>
    <w:rPr>
      <w:rFonts w:ascii="ArialMTStd-Light" w:hAnsi="ArialMTStd-Light" w:hint="default"/>
      <w:b w:val="0"/>
      <w:bCs w:val="0"/>
      <w:i w:val="0"/>
      <w:iCs w:val="0"/>
      <w:color w:val="000000"/>
      <w:sz w:val="22"/>
      <w:szCs w:val="22"/>
    </w:rPr>
  </w:style>
  <w:style w:type="paragraph" w:styleId="Header">
    <w:name w:val="header"/>
    <w:basedOn w:val="Normal"/>
    <w:link w:val="HeaderChar"/>
    <w:uiPriority w:val="99"/>
    <w:unhideWhenUsed/>
    <w:rsid w:val="009A5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3A"/>
  </w:style>
  <w:style w:type="paragraph" w:styleId="Footer">
    <w:name w:val="footer"/>
    <w:basedOn w:val="Normal"/>
    <w:link w:val="FooterChar"/>
    <w:uiPriority w:val="99"/>
    <w:unhideWhenUsed/>
    <w:rsid w:val="009A5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3A"/>
  </w:style>
  <w:style w:type="character" w:customStyle="1" w:styleId="fontstyle21">
    <w:name w:val="fontstyle21"/>
    <w:basedOn w:val="DefaultParagraphFont"/>
    <w:rsid w:val="00DA58A8"/>
    <w:rPr>
      <w:rFonts w:ascii="Calibri-Bold" w:hAnsi="Calibri-Bold" w:hint="default"/>
      <w:b/>
      <w:bCs/>
      <w:i w:val="0"/>
      <w:iCs w:val="0"/>
      <w:color w:val="000000"/>
      <w:sz w:val="24"/>
      <w:szCs w:val="24"/>
    </w:rPr>
  </w:style>
  <w:style w:type="character" w:customStyle="1" w:styleId="fontstyle31">
    <w:name w:val="fontstyle31"/>
    <w:basedOn w:val="DefaultParagraphFont"/>
    <w:rsid w:val="00745339"/>
    <w:rPr>
      <w:rFonts w:ascii="Symbol" w:hAnsi="Symbol" w:hint="default"/>
      <w:b w:val="0"/>
      <w:bCs w:val="0"/>
      <w:i w:val="0"/>
      <w:iCs w:val="0"/>
      <w:color w:val="000000"/>
      <w:sz w:val="22"/>
      <w:szCs w:val="22"/>
    </w:rPr>
  </w:style>
  <w:style w:type="character" w:customStyle="1" w:styleId="fontstyle41">
    <w:name w:val="fontstyle41"/>
    <w:basedOn w:val="DefaultParagraphFont"/>
    <w:rsid w:val="00745339"/>
    <w:rPr>
      <w:rFonts w:ascii="Arial" w:hAnsi="Arial" w:cs="Arial" w:hint="default"/>
      <w:b/>
      <w:bCs/>
      <w:i w:val="0"/>
      <w:iCs w:val="0"/>
      <w:color w:val="000000"/>
      <w:sz w:val="22"/>
      <w:szCs w:val="22"/>
    </w:rPr>
  </w:style>
  <w:style w:type="character" w:customStyle="1" w:styleId="fontstyle51">
    <w:name w:val="fontstyle51"/>
    <w:basedOn w:val="DefaultParagraphFont"/>
    <w:rsid w:val="00745339"/>
    <w:rPr>
      <w:rFonts w:ascii="Century Gothic" w:hAnsi="Century Gothic" w:hint="default"/>
      <w:b w:val="0"/>
      <w:bCs w:val="0"/>
      <w:i w:val="0"/>
      <w:iCs w:val="0"/>
      <w:color w:val="23335F"/>
      <w:sz w:val="24"/>
      <w:szCs w:val="24"/>
    </w:rPr>
  </w:style>
  <w:style w:type="character" w:styleId="Hyperlink">
    <w:name w:val="Hyperlink"/>
    <w:basedOn w:val="DefaultParagraphFont"/>
    <w:uiPriority w:val="99"/>
    <w:unhideWhenUsed/>
    <w:rsid w:val="00543A31"/>
    <w:rPr>
      <w:color w:val="0000FF" w:themeColor="hyperlink"/>
      <w:u w:val="single"/>
    </w:rPr>
  </w:style>
  <w:style w:type="table" w:styleId="LightShading-Accent1">
    <w:name w:val="Light Shading Accent 1"/>
    <w:basedOn w:val="TableNormal"/>
    <w:uiPriority w:val="60"/>
    <w:rsid w:val="000702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702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7C"/>
    <w:pPr>
      <w:ind w:left="720"/>
      <w:contextualSpacing/>
    </w:pPr>
  </w:style>
  <w:style w:type="table" w:styleId="TableGrid">
    <w:name w:val="Table Grid"/>
    <w:basedOn w:val="TableNormal"/>
    <w:uiPriority w:val="59"/>
    <w:unhideWhenUsed/>
    <w:rsid w:val="00C1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AA"/>
    <w:rPr>
      <w:rFonts w:ascii="Tahoma" w:hAnsi="Tahoma" w:cs="Tahoma"/>
      <w:sz w:val="16"/>
      <w:szCs w:val="16"/>
    </w:rPr>
  </w:style>
  <w:style w:type="character" w:customStyle="1" w:styleId="fontstyle01">
    <w:name w:val="fontstyle01"/>
    <w:basedOn w:val="DefaultParagraphFont"/>
    <w:rsid w:val="00DE29C2"/>
    <w:rPr>
      <w:rFonts w:ascii="ArialMTStd-Light" w:hAnsi="ArialMTStd-Light" w:hint="default"/>
      <w:b w:val="0"/>
      <w:bCs w:val="0"/>
      <w:i w:val="0"/>
      <w:iCs w:val="0"/>
      <w:color w:val="000000"/>
      <w:sz w:val="22"/>
      <w:szCs w:val="22"/>
    </w:rPr>
  </w:style>
  <w:style w:type="paragraph" w:styleId="Header">
    <w:name w:val="header"/>
    <w:basedOn w:val="Normal"/>
    <w:link w:val="HeaderChar"/>
    <w:uiPriority w:val="99"/>
    <w:unhideWhenUsed/>
    <w:rsid w:val="009A5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3A"/>
  </w:style>
  <w:style w:type="paragraph" w:styleId="Footer">
    <w:name w:val="footer"/>
    <w:basedOn w:val="Normal"/>
    <w:link w:val="FooterChar"/>
    <w:uiPriority w:val="99"/>
    <w:unhideWhenUsed/>
    <w:rsid w:val="009A5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3A"/>
  </w:style>
  <w:style w:type="character" w:customStyle="1" w:styleId="fontstyle21">
    <w:name w:val="fontstyle21"/>
    <w:basedOn w:val="DefaultParagraphFont"/>
    <w:rsid w:val="00DA58A8"/>
    <w:rPr>
      <w:rFonts w:ascii="Calibri-Bold" w:hAnsi="Calibri-Bold" w:hint="default"/>
      <w:b/>
      <w:bCs/>
      <w:i w:val="0"/>
      <w:iCs w:val="0"/>
      <w:color w:val="000000"/>
      <w:sz w:val="24"/>
      <w:szCs w:val="24"/>
    </w:rPr>
  </w:style>
  <w:style w:type="character" w:customStyle="1" w:styleId="fontstyle31">
    <w:name w:val="fontstyle31"/>
    <w:basedOn w:val="DefaultParagraphFont"/>
    <w:rsid w:val="00745339"/>
    <w:rPr>
      <w:rFonts w:ascii="Symbol" w:hAnsi="Symbol" w:hint="default"/>
      <w:b w:val="0"/>
      <w:bCs w:val="0"/>
      <w:i w:val="0"/>
      <w:iCs w:val="0"/>
      <w:color w:val="000000"/>
      <w:sz w:val="22"/>
      <w:szCs w:val="22"/>
    </w:rPr>
  </w:style>
  <w:style w:type="character" w:customStyle="1" w:styleId="fontstyle41">
    <w:name w:val="fontstyle41"/>
    <w:basedOn w:val="DefaultParagraphFont"/>
    <w:rsid w:val="00745339"/>
    <w:rPr>
      <w:rFonts w:ascii="Arial" w:hAnsi="Arial" w:cs="Arial" w:hint="default"/>
      <w:b/>
      <w:bCs/>
      <w:i w:val="0"/>
      <w:iCs w:val="0"/>
      <w:color w:val="000000"/>
      <w:sz w:val="22"/>
      <w:szCs w:val="22"/>
    </w:rPr>
  </w:style>
  <w:style w:type="character" w:customStyle="1" w:styleId="fontstyle51">
    <w:name w:val="fontstyle51"/>
    <w:basedOn w:val="DefaultParagraphFont"/>
    <w:rsid w:val="00745339"/>
    <w:rPr>
      <w:rFonts w:ascii="Century Gothic" w:hAnsi="Century Gothic" w:hint="default"/>
      <w:b w:val="0"/>
      <w:bCs w:val="0"/>
      <w:i w:val="0"/>
      <w:iCs w:val="0"/>
      <w:color w:val="23335F"/>
      <w:sz w:val="24"/>
      <w:szCs w:val="24"/>
    </w:rPr>
  </w:style>
  <w:style w:type="character" w:styleId="Hyperlink">
    <w:name w:val="Hyperlink"/>
    <w:basedOn w:val="DefaultParagraphFont"/>
    <w:uiPriority w:val="99"/>
    <w:unhideWhenUsed/>
    <w:rsid w:val="00543A31"/>
    <w:rPr>
      <w:color w:val="0000FF" w:themeColor="hyperlink"/>
      <w:u w:val="single"/>
    </w:rPr>
  </w:style>
  <w:style w:type="table" w:styleId="LightShading-Accent1">
    <w:name w:val="Light Shading Accent 1"/>
    <w:basedOn w:val="TableNormal"/>
    <w:uiPriority w:val="60"/>
    <w:rsid w:val="000702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702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88">
      <w:bodyDiv w:val="1"/>
      <w:marLeft w:val="0"/>
      <w:marRight w:val="0"/>
      <w:marTop w:val="0"/>
      <w:marBottom w:val="0"/>
      <w:divBdr>
        <w:top w:val="none" w:sz="0" w:space="0" w:color="auto"/>
        <w:left w:val="none" w:sz="0" w:space="0" w:color="auto"/>
        <w:bottom w:val="none" w:sz="0" w:space="0" w:color="auto"/>
        <w:right w:val="none" w:sz="0" w:space="0" w:color="auto"/>
      </w:divBdr>
    </w:div>
    <w:div w:id="524172370">
      <w:bodyDiv w:val="1"/>
      <w:marLeft w:val="0"/>
      <w:marRight w:val="0"/>
      <w:marTop w:val="0"/>
      <w:marBottom w:val="0"/>
      <w:divBdr>
        <w:top w:val="none" w:sz="0" w:space="0" w:color="auto"/>
        <w:left w:val="none" w:sz="0" w:space="0" w:color="auto"/>
        <w:bottom w:val="none" w:sz="0" w:space="0" w:color="auto"/>
        <w:right w:val="none" w:sz="0" w:space="0" w:color="auto"/>
      </w:divBdr>
    </w:div>
    <w:div w:id="917522231">
      <w:bodyDiv w:val="1"/>
      <w:marLeft w:val="0"/>
      <w:marRight w:val="0"/>
      <w:marTop w:val="0"/>
      <w:marBottom w:val="0"/>
      <w:divBdr>
        <w:top w:val="none" w:sz="0" w:space="0" w:color="auto"/>
        <w:left w:val="none" w:sz="0" w:space="0" w:color="auto"/>
        <w:bottom w:val="none" w:sz="0" w:space="0" w:color="auto"/>
        <w:right w:val="none" w:sz="0" w:space="0" w:color="auto"/>
      </w:divBdr>
    </w:div>
    <w:div w:id="999502093">
      <w:bodyDiv w:val="1"/>
      <w:marLeft w:val="0"/>
      <w:marRight w:val="0"/>
      <w:marTop w:val="0"/>
      <w:marBottom w:val="0"/>
      <w:divBdr>
        <w:top w:val="none" w:sz="0" w:space="0" w:color="auto"/>
        <w:left w:val="none" w:sz="0" w:space="0" w:color="auto"/>
        <w:bottom w:val="none" w:sz="0" w:space="0" w:color="auto"/>
        <w:right w:val="none" w:sz="0" w:space="0" w:color="auto"/>
      </w:divBdr>
    </w:div>
    <w:div w:id="1078013493">
      <w:bodyDiv w:val="1"/>
      <w:marLeft w:val="0"/>
      <w:marRight w:val="0"/>
      <w:marTop w:val="0"/>
      <w:marBottom w:val="0"/>
      <w:divBdr>
        <w:top w:val="none" w:sz="0" w:space="0" w:color="auto"/>
        <w:left w:val="none" w:sz="0" w:space="0" w:color="auto"/>
        <w:bottom w:val="none" w:sz="0" w:space="0" w:color="auto"/>
        <w:right w:val="none" w:sz="0" w:space="0" w:color="auto"/>
      </w:divBdr>
    </w:div>
    <w:div w:id="1163476219">
      <w:bodyDiv w:val="1"/>
      <w:marLeft w:val="0"/>
      <w:marRight w:val="0"/>
      <w:marTop w:val="0"/>
      <w:marBottom w:val="0"/>
      <w:divBdr>
        <w:top w:val="none" w:sz="0" w:space="0" w:color="auto"/>
        <w:left w:val="none" w:sz="0" w:space="0" w:color="auto"/>
        <w:bottom w:val="none" w:sz="0" w:space="0" w:color="auto"/>
        <w:right w:val="none" w:sz="0" w:space="0" w:color="auto"/>
      </w:divBdr>
    </w:div>
    <w:div w:id="1680228760">
      <w:bodyDiv w:val="1"/>
      <w:marLeft w:val="0"/>
      <w:marRight w:val="0"/>
      <w:marTop w:val="0"/>
      <w:marBottom w:val="0"/>
      <w:divBdr>
        <w:top w:val="none" w:sz="0" w:space="0" w:color="auto"/>
        <w:left w:val="none" w:sz="0" w:space="0" w:color="auto"/>
        <w:bottom w:val="none" w:sz="0" w:space="0" w:color="auto"/>
        <w:right w:val="none" w:sz="0" w:space="0" w:color="auto"/>
      </w:divBdr>
      <w:divsChild>
        <w:div w:id="470363068">
          <w:marLeft w:val="0"/>
          <w:marRight w:val="0"/>
          <w:marTop w:val="0"/>
          <w:marBottom w:val="0"/>
          <w:divBdr>
            <w:top w:val="none" w:sz="0" w:space="0" w:color="auto"/>
            <w:left w:val="none" w:sz="0" w:space="0" w:color="auto"/>
            <w:bottom w:val="none" w:sz="0" w:space="0" w:color="auto"/>
            <w:right w:val="none" w:sz="0" w:space="0" w:color="auto"/>
          </w:divBdr>
          <w:divsChild>
            <w:div w:id="817458248">
              <w:marLeft w:val="0"/>
              <w:marRight w:val="0"/>
              <w:marTop w:val="0"/>
              <w:marBottom w:val="0"/>
              <w:divBdr>
                <w:top w:val="none" w:sz="0" w:space="0" w:color="auto"/>
                <w:left w:val="none" w:sz="0" w:space="0" w:color="auto"/>
                <w:bottom w:val="none" w:sz="0" w:space="0" w:color="auto"/>
                <w:right w:val="none" w:sz="0" w:space="0" w:color="auto"/>
              </w:divBdr>
              <w:divsChild>
                <w:div w:id="1683893382">
                  <w:marLeft w:val="0"/>
                  <w:marRight w:val="0"/>
                  <w:marTop w:val="0"/>
                  <w:marBottom w:val="0"/>
                  <w:divBdr>
                    <w:top w:val="none" w:sz="0" w:space="0" w:color="auto"/>
                    <w:left w:val="none" w:sz="0" w:space="0" w:color="auto"/>
                    <w:bottom w:val="none" w:sz="0" w:space="0" w:color="auto"/>
                    <w:right w:val="none" w:sz="0" w:space="0" w:color="auto"/>
                  </w:divBdr>
                  <w:divsChild>
                    <w:div w:id="1463303535">
                      <w:marLeft w:val="0"/>
                      <w:marRight w:val="0"/>
                      <w:marTop w:val="0"/>
                      <w:marBottom w:val="0"/>
                      <w:divBdr>
                        <w:top w:val="none" w:sz="0" w:space="0" w:color="auto"/>
                        <w:left w:val="none" w:sz="0" w:space="0" w:color="auto"/>
                        <w:bottom w:val="none" w:sz="0" w:space="0" w:color="auto"/>
                        <w:right w:val="none" w:sz="0" w:space="0" w:color="auto"/>
                      </w:divBdr>
                      <w:divsChild>
                        <w:div w:id="12354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yorksf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orthyorks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_x0020_End_x0020_Date xmlns="d2691cde-cd57-45c3-8a91-0badd1c43f26">2025-12-01T00:00:00+00:00</Retention_x0020_End_x0020_Date>
    <_dlc_DocId xmlns="d2691cde-cd57-45c3-8a91-0badd1c43f26">NQJUAJ6SAXDA-3-506</_dlc_DocId>
    <_dlc_DocIdUrl xmlns="d2691cde-cd57-45c3-8a91-0badd1c43f26">
      <Url>https://intranet.northyorksfire.gov.uk/ws018/_layouts/DocIdRedir.aspx?ID=NQJUAJ6SAXDA-3-506</Url>
      <Description>NQJUAJ6SAXDA-3-506</Description>
    </_dlc_DocIdUrl>
    <Sub_x002d_Reference xmlns="48d00a5e-3a78-41f4-b91d-2ea3dc3ca3a1"/>
    <Reference xmlns="48d00a5e-3a78-41f4-b91d-2ea3dc3ca3a1"/>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44B35B57B7FC55438175E01F7D9F8580009BC9CAEC0D0CBD458F0E0CD9A66ACAEC" ma:contentTypeVersion="54" ma:contentTypeDescription="" ma:contentTypeScope="" ma:versionID="e54031092fa4ecaf393df5881dd7be1f">
  <xsd:schema xmlns:xsd="http://www.w3.org/2001/XMLSchema" xmlns:xs="http://www.w3.org/2001/XMLSchema" xmlns:p="http://schemas.microsoft.com/office/2006/metadata/properties" xmlns:ns2="d2691cde-cd57-45c3-8a91-0badd1c43f26" xmlns:ns3="48d00a5e-3a78-41f4-b91d-2ea3dc3ca3a1" targetNamespace="http://schemas.microsoft.com/office/2006/metadata/properties" ma:root="true" ma:fieldsID="6979bbebe67315a03ebc52242b35d65c" ns2:_="" ns3:_="">
    <xsd:import namespace="d2691cde-cd57-45c3-8a91-0badd1c43f26"/>
    <xsd:import namespace="48d00a5e-3a78-41f4-b91d-2ea3dc3ca3a1"/>
    <xsd:element name="properties">
      <xsd:complexType>
        <xsd:sequence>
          <xsd:element name="documentManagement">
            <xsd:complexType>
              <xsd:all>
                <xsd:element ref="ns2:_dlc_DocId" minOccurs="0"/>
                <xsd:element ref="ns2:_dlc_DocIdUrl" minOccurs="0"/>
                <xsd:element ref="ns2:_dlc_DocIdPersistId" minOccurs="0"/>
                <xsd:element ref="ns2:Retention_x0020_End_x0020_Date"/>
                <xsd:element ref="ns3:Sub_x002d_Reference"/>
                <xsd:element ref="ns3:Refere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91cde-cd57-45c3-8a91-0badd1c43f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End_x0020_Date" ma:index="11" ma:displayName="Retention End Date" ma:format="DateOnly" ma:internalName="Retention_x0020_En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d00a5e-3a78-41f4-b91d-2ea3dc3ca3a1" elementFormDefault="qualified">
    <xsd:import namespace="http://schemas.microsoft.com/office/2006/documentManagement/types"/>
    <xsd:import namespace="http://schemas.microsoft.com/office/infopath/2007/PartnerControls"/>
    <xsd:element name="Sub_x002d_Reference" ma:index="12" ma:displayName="Sub-Reference" ma:format="Dropdown" ma:internalName="Sub_x002d_Reference">
      <xsd:simpleType>
        <xsd:restriction base="dms:Choice">
          <xsd:enumeration value="Minutes"/>
          <xsd:enumeration value="Action Plans/Trackers"/>
          <xsd:enumeration value="Agendas/Meetings"/>
          <xsd:enumeration value="Disclosure and Barring/vetting"/>
          <xsd:enumeration value="Disability"/>
          <xsd:enumeration value="Equality"/>
          <xsd:enumeration value="Equality Guidance/information"/>
          <xsd:enumeration value="Equality Impact Assessment"/>
          <xsd:enumeration value="Exits/Leavers"/>
          <xsd:enumeration value="Fire Cover Review 2015"/>
          <xsd:enumeration value="Gender Pay Gap 2016"/>
          <xsd:enumeration value="Monitoring information"/>
          <xsd:enumeration value="Policy"/>
          <xsd:enumeration value="Presentations"/>
          <xsd:enumeration value="Safeguarding"/>
          <xsd:enumeration value="Safeguarding information"/>
          <xsd:enumeration value="Statistics Equality"/>
          <xsd:enumeration value="Statistics Safeguarding"/>
          <xsd:enumeration value="Supporting Documents"/>
          <xsd:enumeration value="Training Equality"/>
          <xsd:enumeration value="Training Safeguarding"/>
        </xsd:restriction>
      </xsd:simpleType>
    </xsd:element>
    <xsd:element name="Reference" ma:index="13" ma:displayName="Reference" ma:format="Dropdown" ma:internalName="Reference">
      <xsd:simpleType>
        <xsd:restriction base="dms:Choice">
          <xsd:enumeration value="Meetings"/>
          <xsd:enumeration value="Equality"/>
          <xsd:enumeration value="Statistics"/>
          <xsd:enumeration value="Safeguarding"/>
          <xsd:enumeration value="Training Equality"/>
          <xsd:enumeration value="Training Safeguarding"/>
          <xsd:enumeration value="Equality and Safeguarding"/>
          <xsd:enumeration value="Were checked out, for sifting into categor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effd1270-21d4-4075-9341-d3c9a34d9db6" ContentTypeId="0x01010044B35B57B7FC55438175E01F7D9F8580" PreviousValue="false"/>
</file>

<file path=customXml/itemProps1.xml><?xml version="1.0" encoding="utf-8"?>
<ds:datastoreItem xmlns:ds="http://schemas.openxmlformats.org/officeDocument/2006/customXml" ds:itemID="{CF170094-BC6D-4A88-BB41-288679DDAF8A}"/>
</file>

<file path=customXml/itemProps2.xml><?xml version="1.0" encoding="utf-8"?>
<ds:datastoreItem xmlns:ds="http://schemas.openxmlformats.org/officeDocument/2006/customXml" ds:itemID="{49C74259-A03C-46E3-AE27-95CB2A65BC31}"/>
</file>

<file path=customXml/itemProps3.xml><?xml version="1.0" encoding="utf-8"?>
<ds:datastoreItem xmlns:ds="http://schemas.openxmlformats.org/officeDocument/2006/customXml" ds:itemID="{1B0855C7-DD80-47C5-95B8-27B4D7430C23}"/>
</file>

<file path=customXml/itemProps4.xml><?xml version="1.0" encoding="utf-8"?>
<ds:datastoreItem xmlns:ds="http://schemas.openxmlformats.org/officeDocument/2006/customXml" ds:itemID="{7C1718C2-2D88-4825-A5DE-6B6D310458E6}"/>
</file>

<file path=customXml/itemProps5.xml><?xml version="1.0" encoding="utf-8"?>
<ds:datastoreItem xmlns:ds="http://schemas.openxmlformats.org/officeDocument/2006/customXml" ds:itemID="{E990FFA0-0074-4DBD-9CA3-917E6F55CD2F}"/>
</file>

<file path=customXml/itemProps6.xml><?xml version="1.0" encoding="utf-8"?>
<ds:datastoreItem xmlns:ds="http://schemas.openxmlformats.org/officeDocument/2006/customXml" ds:itemID="{48786B5B-16BA-47B8-92E8-A635CE194794}"/>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Gender Pay Gap Report 2018 (Final)</vt:lpstr>
    </vt:vector>
  </TitlesOfParts>
  <Company>North Yorkshire Fire &amp; Rescue Service</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2018 (Final)</dc:title>
  <dc:creator>Marinder Kaur Singh</dc:creator>
  <cp:lastModifiedBy>Lynne Elliott</cp:lastModifiedBy>
  <cp:revision>2</cp:revision>
  <cp:lastPrinted>2018-02-05T09:45:00Z</cp:lastPrinted>
  <dcterms:created xsi:type="dcterms:W3CDTF">2019-03-26T21:15:00Z</dcterms:created>
  <dcterms:modified xsi:type="dcterms:W3CDTF">2019-03-26T21:15:00Z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0x01010044B35B57B7FC55438175E01F7D9F8580009BC9CAEC0D0CBD458F0E0CD9A66ACAEC</vt:lpwstr>
  </property>
  <property fmtid="{D5CDD505-2E9C-101B-9397-08002B2CF9AE}" pid="3" name="_dlc_DocIdItemGuid">
    <vt:lpwstr>b1553930-5d57-4044-a939-8e75db1c6450</vt:lpwstr>
  </property>
</Properties>
</file>